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spacing w:before="1" w:lineRule="auto"/>
        <w:ind w:left="1710" w:right="1530" w:firstLine="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Template E: </w:t>
      </w:r>
      <w:r w:rsidDel="00000000" w:rsidR="00000000" w:rsidRPr="00000000">
        <w:rPr>
          <w:rFonts w:ascii="Calibri" w:cs="Calibri" w:eastAsia="Calibri" w:hAnsi="Calibri"/>
          <w:b w:val="0"/>
          <w:sz w:val="30"/>
          <w:szCs w:val="30"/>
          <w:rtl w:val="0"/>
        </w:rPr>
        <w:t xml:space="preserve">Overview of the Health System Building Blocks and Comprehensive SRH Considerations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" w:line="268" w:lineRule="auto"/>
        <w:ind w:left="1710" w:right="153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" w:line="268" w:lineRule="auto"/>
        <w:ind w:left="1710" w:right="171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This template provides a list of what should be considered for each building block of the health system and a checklist for self-reflection. A fully editable version of this template is available as a Word document or Excel worksheet online at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4472c4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https://iawg.net/misp-to-csrh/templates.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  <w:sectPr>
          <w:headerReference r:id="rId7" w:type="even"/>
          <w:pgSz w:h="15840" w:w="12240" w:orient="portrait"/>
          <w:pgMar w:bottom="720" w:top="1500" w:left="0" w:right="0" w:header="0" w:footer="539"/>
          <w:pgNumType w:start="1"/>
        </w:sect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101600</wp:posOffset>
                </wp:positionV>
                <wp:extent cx="5612765" cy="952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39618" y="3775238"/>
                          <a:ext cx="5612765" cy="9525"/>
                          <a:chOff x="2539618" y="3775238"/>
                          <a:chExt cx="5612130" cy="5080"/>
                        </a:xfrm>
                      </wpg:grpSpPr>
                      <wpg:grpSp>
                        <wpg:cNvGrpSpPr/>
                        <wpg:grpSpPr>
                          <a:xfrm>
                            <a:off x="2539618" y="3775238"/>
                            <a:ext cx="5612130" cy="5080"/>
                            <a:chOff x="1701" y="172"/>
                            <a:chExt cx="8838" cy="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701" y="172"/>
                              <a:ext cx="88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701" y="180"/>
                              <a:ext cx="1457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A4C29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3158" y="180"/>
                              <a:ext cx="2857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A4C29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6015" y="180"/>
                              <a:ext cx="4524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A4C29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101600</wp:posOffset>
                </wp:positionV>
                <wp:extent cx="5612765" cy="9525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2765" cy="9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" w:line="268" w:lineRule="auto"/>
        <w:ind w:left="1710" w:right="-5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72727"/>
          <w:sz w:val="22"/>
          <w:szCs w:val="22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ba4c29"/>
          <w:sz w:val="22"/>
          <w:szCs w:val="22"/>
          <w:u w:val="none"/>
          <w:shd w:fill="auto" w:val="clear"/>
          <w:vertAlign w:val="baseline"/>
          <w:rtl w:val="0"/>
        </w:rPr>
        <w:t xml:space="preserve">Health system building block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81" w:line="268" w:lineRule="auto"/>
        <w:ind w:left="186" w:firstLine="0"/>
        <w:rPr>
          <w:rFonts w:ascii="Calibri" w:cs="Calibri" w:eastAsia="Calibri" w:hAnsi="Calibri"/>
          <w:b w:val="1"/>
        </w:rPr>
      </w:pPr>
      <w:r w:rsidDel="00000000" w:rsidR="00000000" w:rsidRPr="00000000">
        <w:br w:type="column"/>
      </w:r>
      <w:r w:rsidDel="00000000" w:rsidR="00000000" w:rsidRPr="00000000">
        <w:rPr>
          <w:rFonts w:ascii="Calibri" w:cs="Calibri" w:eastAsia="Calibri" w:hAnsi="Calibri"/>
          <w:b w:val="1"/>
          <w:color w:val="ba4c29"/>
          <w:rtl w:val="0"/>
        </w:rPr>
        <w:t xml:space="preserve">When planning for comprehensive SRH services, collaborate with all stakeholders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1627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90" w:firstLine="0"/>
        <w:rPr>
          <w:rFonts w:ascii="Calibri" w:cs="Calibri" w:eastAsia="Calibri" w:hAnsi="Calibri"/>
          <w:b w:val="1"/>
        </w:rPr>
        <w:sectPr>
          <w:type w:val="continuous"/>
          <w:pgSz w:h="15840" w:w="12240" w:orient="portrait"/>
          <w:pgMar w:bottom="280" w:top="1500" w:left="0" w:right="0" w:header="720" w:footer="720"/>
          <w:cols w:equalWidth="0" w:num="3">
            <w:col w:space="39" w:w="4054.0000000000005"/>
            <w:col w:space="39" w:w="4054.0000000000005"/>
            <w:col w:space="0" w:w="4054.0000000000005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color w:val="ba4c29"/>
          <w:rtl w:val="0"/>
        </w:rPr>
        <w:t xml:space="preserve">Checklist for self-reflection: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39.0" w:type="dxa"/>
        <w:jc w:val="left"/>
        <w:tblInd w:w="1698.0" w:type="dxa"/>
        <w:tblLayout w:type="fixed"/>
        <w:tblLook w:val="0000"/>
      </w:tblPr>
      <w:tblGrid>
        <w:gridCol w:w="1457"/>
        <w:gridCol w:w="2819"/>
        <w:gridCol w:w="4563"/>
        <w:tblGridChange w:id="0">
          <w:tblGrid>
            <w:gridCol w:w="1457"/>
            <w:gridCol w:w="2819"/>
            <w:gridCol w:w="4563"/>
          </w:tblGrid>
        </w:tblGridChange>
      </w:tblGrid>
      <w:tr>
        <w:trPr>
          <w:trHeight w:val="3418" w:hRule="atLeast"/>
        </w:trPr>
        <w:tc>
          <w:tcPr>
            <w:tcBorders>
              <w:top w:color="ba4c29" w:space="0" w:sz="6" w:val="single"/>
              <w:bottom w:color="c6c6c6" w:space="0" w:sz="8" w:val="single"/>
            </w:tcBorders>
            <w:shd w:fill="ededed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276" w:lineRule="auto"/>
              <w:ind w:left="14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SERVICE DELIVERY</w:t>
            </w:r>
          </w:p>
        </w:tc>
        <w:tc>
          <w:tcPr>
            <w:tcBorders>
              <w:top w:color="ba4c29" w:space="0" w:sz="6" w:val="single"/>
              <w:bottom w:color="c6c6c6" w:space="0" w:sz="8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276" w:lineRule="auto"/>
              <w:ind w:left="143" w:right="26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Identify SRH strengths and needs in the community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9" w:line="276" w:lineRule="auto"/>
              <w:ind w:left="143" w:right="26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Identify suitable sites for SRH service delivery</w:t>
            </w:r>
          </w:p>
        </w:tc>
        <w:tc>
          <w:tcPr>
            <w:tcBorders>
              <w:top w:color="ba4c29" w:space="0" w:sz="6" w:val="single"/>
              <w:bottom w:color="c6c6c6" w:space="0" w:sz="8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78"/>
                <w:tab w:val="left" w:pos="479"/>
              </w:tabs>
              <w:spacing w:after="0" w:before="107" w:line="256" w:lineRule="auto"/>
              <w:ind w:left="478" w:right="729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What demand generation activities exist for communities and how are they prioritized?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78"/>
                <w:tab w:val="left" w:pos="479"/>
              </w:tabs>
              <w:spacing w:after="0" w:before="51" w:line="256" w:lineRule="auto"/>
              <w:ind w:left="478" w:right="663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What   are  the  barriers faced  by  hard-to-reach populations when accessing services?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78"/>
                <w:tab w:val="left" w:pos="479"/>
              </w:tabs>
              <w:spacing w:after="0" w:before="51" w:line="266" w:lineRule="auto"/>
              <w:ind w:left="478" w:right="279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are health care  delivery  services  organized to ensure services are close and accessible to the population? How does the referral system work?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78"/>
                <w:tab w:val="left" w:pos="479"/>
              </w:tabs>
              <w:spacing w:after="0" w:before="41" w:line="271" w:lineRule="auto"/>
              <w:ind w:left="478" w:right="188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When designing new facilities, how are buildings planned, including  their  locations and equipment; utilities, such as power and water supply; waste management; transport; and communication and information systems?</w:t>
            </w:r>
          </w:p>
        </w:tc>
      </w:tr>
      <w:tr>
        <w:trPr>
          <w:trHeight w:val="3258" w:hRule="atLeast"/>
        </w:trPr>
        <w:tc>
          <w:tcPr>
            <w:tcBorders>
              <w:top w:color="c6c6c6" w:space="0" w:sz="8" w:val="single"/>
              <w:bottom w:color="c6c6c6" w:space="0" w:sz="8" w:val="single"/>
            </w:tcBorders>
            <w:shd w:fill="ededed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76" w:lineRule="auto"/>
              <w:ind w:left="14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HEALTH WORKFORCE</w:t>
            </w:r>
          </w:p>
        </w:tc>
        <w:tc>
          <w:tcPr>
            <w:tcBorders>
              <w:top w:color="c6c6c6" w:space="0" w:sz="8" w:val="single"/>
              <w:bottom w:color="c6c6c6" w:space="0" w:sz="8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Assess staff capacity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Identify staffing needs and levels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Design and plan staff training</w:t>
            </w:r>
          </w:p>
        </w:tc>
        <w:tc>
          <w:tcPr>
            <w:tcBorders>
              <w:top w:color="c6c6c6" w:space="0" w:sz="8" w:val="single"/>
              <w:bottom w:color="c6c6c6" w:space="0" w:sz="8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78"/>
                <w:tab w:val="left" w:pos="479"/>
              </w:tabs>
              <w:spacing w:after="0" w:before="98" w:line="268" w:lineRule="auto"/>
              <w:ind w:left="478" w:right="12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are health workers organized for effective service delivery at the different levels of  the  system (primary, secondary, tertiary)? Is there a system to monitor and improve their performance?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78"/>
                <w:tab w:val="left" w:pos="479"/>
              </w:tabs>
              <w:spacing w:after="0" w:before="39" w:line="266" w:lineRule="auto"/>
              <w:ind w:left="478" w:right="342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are training programs designed? Are they stand alone trainings or integrated into a training larger strategy or program?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78"/>
                <w:tab w:val="left" w:pos="479"/>
              </w:tabs>
              <w:spacing w:after="0" w:before="41" w:line="256" w:lineRule="auto"/>
              <w:ind w:left="478" w:right="182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If  the  emergency escalates suddenly in your setting,  is there a plan as to how to scale-up the workforce?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78"/>
                <w:tab w:val="left" w:pos="479"/>
              </w:tabs>
              <w:spacing w:after="0" w:before="51" w:line="256" w:lineRule="auto"/>
              <w:ind w:left="478" w:right="115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Is there a  retention plan for an effective workforce, within dynamic local and international labor markets?</w:t>
            </w:r>
          </w:p>
        </w:tc>
      </w:tr>
      <w:tr>
        <w:trPr>
          <w:trHeight w:val="3347" w:hRule="atLeast"/>
        </w:trPr>
        <w:tc>
          <w:tcPr>
            <w:tcBorders>
              <w:top w:color="c6c6c6" w:space="0" w:sz="8" w:val="single"/>
              <w:bottom w:color="c6c6c6" w:space="0" w:sz="8" w:val="single"/>
            </w:tcBorders>
            <w:shd w:fill="ededed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76" w:lineRule="auto"/>
              <w:ind w:left="14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HEALTH INFORMATION SYSTEM</w:t>
            </w:r>
          </w:p>
        </w:tc>
        <w:tc>
          <w:tcPr>
            <w:tcBorders>
              <w:top w:color="c6c6c6" w:space="0" w:sz="8" w:val="single"/>
              <w:bottom w:color="c6c6c6" w:space="0" w:sz="8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76" w:lineRule="auto"/>
              <w:ind w:left="143" w:right="20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Build upon estimated demographic data to collect more specific SRH information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9" w:line="276" w:lineRule="auto"/>
              <w:ind w:left="14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Include SRH information in the health information system</w:t>
            </w:r>
          </w:p>
        </w:tc>
        <w:tc>
          <w:tcPr>
            <w:tcBorders>
              <w:top w:color="c6c6c6" w:space="0" w:sz="8" w:val="single"/>
              <w:bottom w:color="c6c6c6" w:space="0" w:sz="8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77"/>
                <w:tab w:val="left" w:pos="478"/>
              </w:tabs>
              <w:spacing w:after="0" w:before="98" w:line="271" w:lineRule="auto"/>
              <w:ind w:left="477" w:right="183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Is it possible to generate population and facility- based data: from censuses, household surveys, civil registration data, public health  surveillance, medical records, data on health services and health system resources (e.g., human resources, health infrastructure and financing)?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77"/>
                <w:tab w:val="left" w:pos="478"/>
              </w:tabs>
              <w:spacing w:after="0" w:before="38" w:line="268" w:lineRule="auto"/>
              <w:ind w:left="477" w:right="248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operations have the capacity to detect, investigate, communicate, and contain events that threaten public health security  at  the  place  they occur, and as soon as they occur?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77"/>
                <w:tab w:val="left" w:pos="478"/>
              </w:tabs>
              <w:spacing w:after="0" w:before="40" w:line="256" w:lineRule="auto"/>
              <w:ind w:left="477" w:right="173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Is  there  capacity to synthesize information and promote the availability and application of this knowledge?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77"/>
                <w:tab w:val="left" w:pos="478"/>
              </w:tabs>
              <w:spacing w:after="0" w:before="40" w:line="256" w:lineRule="auto"/>
              <w:ind w:left="477" w:right="17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67" w:hRule="atLeast"/>
        </w:trPr>
        <w:tc>
          <w:tcPr>
            <w:tcBorders>
              <w:top w:color="ba4c29" w:space="0" w:sz="6" w:val="single"/>
              <w:bottom w:color="c6c6c6" w:space="0" w:sz="8" w:val="single"/>
            </w:tcBorders>
            <w:shd w:fill="ededed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76" w:lineRule="auto"/>
              <w:ind w:left="154" w:right="131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MEDICAL COMMODITIES</w:t>
            </w:r>
          </w:p>
        </w:tc>
        <w:tc>
          <w:tcPr>
            <w:tcBorders>
              <w:top w:color="ba4c29" w:space="0" w:sz="6" w:val="single"/>
              <w:bottom w:color="c6c6c6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47"/>
                <w:tab w:val="left" w:pos="3307"/>
              </w:tabs>
              <w:spacing w:after="0" w:before="97" w:line="240" w:lineRule="auto"/>
              <w:ind w:left="15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Identify SRH commodity needs</w:t>
              <w:tab/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  <w:t xml:space="preserve">Does the health system that you work in ensure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87"/>
              </w:tabs>
              <w:spacing w:after="0" w:before="46" w:line="201" w:lineRule="auto"/>
              <w:ind w:left="154" w:right="393" w:firstLine="315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equitable access to essential medical products,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perscript"/>
                <w:rtl w:val="0"/>
              </w:rPr>
              <w:t xml:space="preserve">Strengthen sustainable SRH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vaccines, and technologies of assured: commodity supply lines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- Quality,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95"/>
              </w:tabs>
              <w:spacing w:after="0" w:before="79" w:line="240" w:lineRule="auto"/>
              <w:ind w:left="3394" w:right="0" w:hanging="108.0000000000001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Safety,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95"/>
              </w:tabs>
              <w:spacing w:after="0" w:before="88" w:line="240" w:lineRule="auto"/>
              <w:ind w:left="3394" w:right="0" w:hanging="108.00000000000011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Efficacy and cost-effectiveness, and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94"/>
              </w:tabs>
              <w:spacing w:after="0" w:before="87" w:line="240" w:lineRule="auto"/>
              <w:ind w:left="3393" w:right="0" w:hanging="106.99999999999989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Scientifically sound and cost-effective use?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06"/>
                <w:tab w:val="left" w:pos="3307"/>
              </w:tabs>
              <w:spacing w:after="0" w:before="178" w:line="266" w:lineRule="auto"/>
              <w:ind w:left="3306" w:right="246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Are there efforts to strengthen local supply lines for SRH commodities that meet the criteria listed above?</w:t>
            </w:r>
          </w:p>
        </w:tc>
      </w:tr>
      <w:tr>
        <w:trPr>
          <w:trHeight w:val="4093" w:hRule="atLeast"/>
        </w:trPr>
        <w:tc>
          <w:tcPr>
            <w:tcBorders>
              <w:top w:color="c6c6c6" w:space="0" w:sz="8" w:val="single"/>
              <w:bottom w:color="c6c6c6" w:space="0" w:sz="8" w:val="single"/>
            </w:tcBorders>
            <w:shd w:fill="ededed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5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FINANCING</w:t>
            </w:r>
          </w:p>
        </w:tc>
        <w:tc>
          <w:tcPr>
            <w:tcBorders>
              <w:top w:color="c6c6c6" w:space="0" w:sz="8" w:val="single"/>
              <w:bottom w:color="c6c6c6" w:space="0" w:sz="8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46"/>
                <w:tab w:val="left" w:pos="3306"/>
              </w:tabs>
              <w:spacing w:after="0" w:before="97" w:line="240" w:lineRule="auto"/>
              <w:ind w:left="1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Identify SRH short and long-</w:t>
              <w:tab/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  <w:t xml:space="preserve">Are there any plans for raising additional funds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06"/>
              </w:tabs>
              <w:spacing w:after="0" w:before="18" w:line="240" w:lineRule="auto"/>
              <w:ind w:left="1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term financing possibilities</w:t>
              <w:tab/>
              <w:t xml:space="preserve">where health needs are high, and where revenues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33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 been insufficient?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06"/>
                <w:tab w:val="left" w:pos="3307"/>
              </w:tabs>
              <w:spacing w:after="0" w:before="65" w:line="266" w:lineRule="auto"/>
              <w:ind w:left="3306" w:right="352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populations you cater to spend out-of-pocket for health services? Is there an estimate of how much?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06"/>
                <w:tab w:val="left" w:pos="3307"/>
              </w:tabs>
              <w:spacing w:after="0" w:before="41" w:line="266" w:lineRule="auto"/>
              <w:ind w:left="3306" w:right="104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vulnerable and low-income groups have access to needed services, in the form of social protection/ health insurance?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06"/>
                <w:tab w:val="left" w:pos="3307"/>
              </w:tabs>
              <w:spacing w:after="0" w:before="40" w:line="266" w:lineRule="auto"/>
              <w:ind w:left="3306" w:right="156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would you rate efficiency of resource use in your operations by focusing on the appropriate mix of activities and interventions?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06"/>
                <w:tab w:val="left" w:pos="3307"/>
              </w:tabs>
              <w:spacing w:after="0" w:before="41" w:line="256" w:lineRule="auto"/>
              <w:ind w:left="3306" w:right="179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What mechanisms do you have in place to monitor health expenditure?</w:t>
            </w:r>
          </w:p>
        </w:tc>
      </w:tr>
      <w:tr>
        <w:trPr>
          <w:trHeight w:val="3400" w:hRule="atLeast"/>
        </w:trPr>
        <w:tc>
          <w:tcPr>
            <w:tcBorders>
              <w:top w:color="c6c6c6" w:space="0" w:sz="8" w:val="single"/>
              <w:bottom w:color="c6c6c6" w:space="0" w:sz="8" w:val="single"/>
            </w:tcBorders>
            <w:shd w:fill="ededed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76" w:lineRule="auto"/>
              <w:ind w:left="15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GOVERNANCE AND LEADERSHIP</w:t>
            </w:r>
          </w:p>
        </w:tc>
        <w:tc>
          <w:tcPr>
            <w:tcBorders>
              <w:top w:color="c6c6c6" w:space="0" w:sz="8" w:val="single"/>
              <w:bottom w:color="c6c6c6" w:space="0" w:sz="8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47"/>
                <w:tab w:val="left" w:pos="3307"/>
              </w:tabs>
              <w:spacing w:after="0" w:before="97" w:line="240" w:lineRule="auto"/>
              <w:ind w:left="15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Review SRH-related laws,</w:t>
              <w:tab/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  <w:t xml:space="preserve">Are all specific technical policies/guidelines to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07"/>
              </w:tabs>
              <w:spacing w:after="0" w:before="18" w:line="240" w:lineRule="auto"/>
              <w:ind w:left="15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Policies, protocols</w:t>
              <w:tab/>
              <w:t xml:space="preserve">guide partners available and up to date?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47"/>
                <w:tab w:val="left" w:pos="3307"/>
              </w:tabs>
              <w:spacing w:after="0" w:before="79" w:line="201" w:lineRule="auto"/>
              <w:ind w:left="15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Coordinate with the Ministry of</w:t>
              <w:tab/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  <w:t xml:space="preserve">Are trends analyzed periodically to study patterns?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47"/>
                <w:tab w:val="left" w:pos="3307"/>
              </w:tabs>
              <w:spacing w:after="0" w:before="0" w:line="213" w:lineRule="auto"/>
              <w:ind w:left="3307" w:right="498" w:hanging="315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Health</w:t>
              <w:tab/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  <w:t xml:space="preserve">Are there regular national-level discussions on policy issues?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47"/>
                <w:tab w:val="left" w:pos="3307"/>
              </w:tabs>
              <w:spacing w:after="0" w:before="62" w:line="182" w:lineRule="auto"/>
              <w:ind w:left="154" w:right="64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perscript"/>
                <w:rtl w:val="0"/>
              </w:rPr>
              <w:t xml:space="preserve">Engage communities in</w:t>
              <w:tab/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  <w:t xml:space="preserve">How are regulations relevant to your settings accountability</w:t>
              <w:tab/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bscript"/>
                <w:rtl w:val="0"/>
              </w:rPr>
              <w:t xml:space="preserve">enforced?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07"/>
                <w:tab w:val="left" w:pos="3308"/>
              </w:tabs>
              <w:spacing w:after="0" w:before="75" w:line="256" w:lineRule="auto"/>
              <w:ind w:left="3307" w:right="545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Is there duplication of services in your setting which can be avoided?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07"/>
                <w:tab w:val="left" w:pos="3308"/>
              </w:tabs>
              <w:spacing w:after="0" w:before="51" w:line="256" w:lineRule="auto"/>
              <w:ind w:left="3307" w:right="462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Are there any mechanism for hearing feedback from clients on services provided?</w:t>
            </w:r>
          </w:p>
        </w:tc>
      </w:tr>
    </w:tbl>
    <w:p w:rsidR="00000000" w:rsidDel="00000000" w:rsidP="00000000" w:rsidRDefault="00000000" w:rsidRPr="00000000" w14:paraId="0000003C">
      <w:pPr>
        <w:spacing w:line="256" w:lineRule="auto"/>
        <w:rPr>
          <w:sz w:val="18"/>
          <w:szCs w:val="18"/>
        </w:rPr>
        <w:sectPr>
          <w:type w:val="continuous"/>
          <w:pgSz w:h="15840" w:w="12240" w:orient="portrait"/>
          <w:pgMar w:bottom="280" w:top="1500" w:left="0" w:right="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Verdana" w:cs="Verdana" w:eastAsia="Verdana" w:hAnsi="Verdana"/>
          <w:sz w:val="20"/>
          <w:szCs w:val="20"/>
        </w:rPr>
        <w:sectPr>
          <w:headerReference r:id="rId9" w:type="even"/>
          <w:footerReference r:id="rId10" w:type="default"/>
          <w:footerReference r:id="rId11" w:type="even"/>
          <w:type w:val="continuous"/>
          <w:pgSz w:h="15840" w:w="12240" w:orient="portrait"/>
          <w:pgMar w:bottom="280" w:top="1500" w:left="0" w:right="0" w:header="720" w:footer="720"/>
          <w:cols w:equalWidth="0" w:num="3">
            <w:col w:space="39" w:w="4054.0000000000005"/>
            <w:col w:space="39" w:w="4054.0000000000005"/>
            <w:col w:space="0" w:w="4054.000000000000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Georgia"/>
  <w:font w:name="Calibri"/>
  <w:font w:name="Verdana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3394" w:hanging="107"/>
      </w:pPr>
      <w:rPr>
        <w:rFonts w:ascii="Trebuchet MS" w:cs="Trebuchet MS" w:eastAsia="Trebuchet MS" w:hAnsi="Trebuchet MS"/>
        <w:sz w:val="18"/>
        <w:szCs w:val="18"/>
      </w:rPr>
    </w:lvl>
    <w:lvl w:ilvl="1">
      <w:start w:val="1"/>
      <w:numFmt w:val="bullet"/>
      <w:lvlText w:val="•"/>
      <w:lvlJc w:val="left"/>
      <w:pPr>
        <w:ind w:left="3798" w:hanging="107"/>
      </w:pPr>
      <w:rPr/>
    </w:lvl>
    <w:lvl w:ilvl="2">
      <w:start w:val="1"/>
      <w:numFmt w:val="bullet"/>
      <w:lvlText w:val="•"/>
      <w:lvlJc w:val="left"/>
      <w:pPr>
        <w:ind w:left="4196" w:hanging="106.99999999999955"/>
      </w:pPr>
      <w:rPr/>
    </w:lvl>
    <w:lvl w:ilvl="3">
      <w:start w:val="1"/>
      <w:numFmt w:val="bullet"/>
      <w:lvlText w:val="•"/>
      <w:lvlJc w:val="left"/>
      <w:pPr>
        <w:ind w:left="4594" w:hanging="107"/>
      </w:pPr>
      <w:rPr/>
    </w:lvl>
    <w:lvl w:ilvl="4">
      <w:start w:val="1"/>
      <w:numFmt w:val="bullet"/>
      <w:lvlText w:val="•"/>
      <w:lvlJc w:val="left"/>
      <w:pPr>
        <w:ind w:left="4992" w:hanging="107"/>
      </w:pPr>
      <w:rPr/>
    </w:lvl>
    <w:lvl w:ilvl="5">
      <w:start w:val="1"/>
      <w:numFmt w:val="bullet"/>
      <w:lvlText w:val="•"/>
      <w:lvlJc w:val="left"/>
      <w:pPr>
        <w:ind w:left="5390" w:hanging="107"/>
      </w:pPr>
      <w:rPr/>
    </w:lvl>
    <w:lvl w:ilvl="6">
      <w:start w:val="1"/>
      <w:numFmt w:val="bullet"/>
      <w:lvlText w:val="•"/>
      <w:lvlJc w:val="left"/>
      <w:pPr>
        <w:ind w:left="5788" w:hanging="107.00000000000091"/>
      </w:pPr>
      <w:rPr/>
    </w:lvl>
    <w:lvl w:ilvl="7">
      <w:start w:val="1"/>
      <w:numFmt w:val="bullet"/>
      <w:lvlText w:val="•"/>
      <w:lvlJc w:val="left"/>
      <w:pPr>
        <w:ind w:left="6186" w:hanging="107"/>
      </w:pPr>
      <w:rPr/>
    </w:lvl>
    <w:lvl w:ilvl="8">
      <w:start w:val="1"/>
      <w:numFmt w:val="bullet"/>
      <w:lvlText w:val="•"/>
      <w:lvlJc w:val="left"/>
      <w:pPr>
        <w:ind w:left="6584" w:hanging="107.00000000000091"/>
      </w:pPr>
      <w:rPr/>
    </w:lvl>
  </w:abstractNum>
  <w:abstractNum w:abstractNumId="2">
    <w:lvl w:ilvl="0">
      <w:start w:val="1"/>
      <w:numFmt w:val="bullet"/>
      <w:lvlText w:val="☐"/>
      <w:lvlJc w:val="left"/>
      <w:pPr>
        <w:ind w:left="477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1">
      <w:start w:val="1"/>
      <w:numFmt w:val="bullet"/>
      <w:lvlText w:val="•"/>
      <w:lvlJc w:val="left"/>
      <w:pPr>
        <w:ind w:left="888" w:hanging="360"/>
      </w:pPr>
      <w:rPr/>
    </w:lvl>
    <w:lvl w:ilvl="2">
      <w:start w:val="1"/>
      <w:numFmt w:val="bullet"/>
      <w:lvlText w:val="•"/>
      <w:lvlJc w:val="left"/>
      <w:pPr>
        <w:ind w:left="1296" w:hanging="360"/>
      </w:pPr>
      <w:rPr/>
    </w:lvl>
    <w:lvl w:ilvl="3">
      <w:start w:val="1"/>
      <w:numFmt w:val="bullet"/>
      <w:lvlText w:val="•"/>
      <w:lvlJc w:val="left"/>
      <w:pPr>
        <w:ind w:left="1704" w:hanging="360"/>
      </w:pPr>
      <w:rPr/>
    </w:lvl>
    <w:lvl w:ilvl="4">
      <w:start w:val="1"/>
      <w:numFmt w:val="bullet"/>
      <w:lvlText w:val="•"/>
      <w:lvlJc w:val="left"/>
      <w:pPr>
        <w:ind w:left="2113" w:hanging="360"/>
      </w:pPr>
      <w:rPr/>
    </w:lvl>
    <w:lvl w:ilvl="5">
      <w:start w:val="1"/>
      <w:numFmt w:val="bullet"/>
      <w:lvlText w:val="•"/>
      <w:lvlJc w:val="left"/>
      <w:pPr>
        <w:ind w:left="2521" w:hanging="360"/>
      </w:pPr>
      <w:rPr/>
    </w:lvl>
    <w:lvl w:ilvl="6">
      <w:start w:val="1"/>
      <w:numFmt w:val="bullet"/>
      <w:lvlText w:val="•"/>
      <w:lvlJc w:val="left"/>
      <w:pPr>
        <w:ind w:left="2929" w:hanging="360"/>
      </w:pPr>
      <w:rPr/>
    </w:lvl>
    <w:lvl w:ilvl="7">
      <w:start w:val="1"/>
      <w:numFmt w:val="bullet"/>
      <w:lvlText w:val="•"/>
      <w:lvlJc w:val="left"/>
      <w:pPr>
        <w:ind w:left="3338" w:hanging="360"/>
      </w:pPr>
      <w:rPr/>
    </w:lvl>
    <w:lvl w:ilvl="8">
      <w:start w:val="1"/>
      <w:numFmt w:val="bullet"/>
      <w:lvlText w:val="•"/>
      <w:lvlJc w:val="left"/>
      <w:pPr>
        <w:ind w:left="3746" w:hanging="360"/>
      </w:pPr>
      <w:rPr/>
    </w:lvl>
  </w:abstractNum>
  <w:abstractNum w:abstractNumId="3">
    <w:lvl w:ilvl="0">
      <w:start w:val="1"/>
      <w:numFmt w:val="bullet"/>
      <w:lvlText w:val="☐"/>
      <w:lvlJc w:val="left"/>
      <w:pPr>
        <w:ind w:left="478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1">
      <w:start w:val="1"/>
      <w:numFmt w:val="bullet"/>
      <w:lvlText w:val="•"/>
      <w:lvlJc w:val="left"/>
      <w:pPr>
        <w:ind w:left="888" w:hanging="360"/>
      </w:pPr>
      <w:rPr/>
    </w:lvl>
    <w:lvl w:ilvl="2">
      <w:start w:val="1"/>
      <w:numFmt w:val="bullet"/>
      <w:lvlText w:val="•"/>
      <w:lvlJc w:val="left"/>
      <w:pPr>
        <w:ind w:left="1296" w:hanging="360"/>
      </w:pPr>
      <w:rPr/>
    </w:lvl>
    <w:lvl w:ilvl="3">
      <w:start w:val="1"/>
      <w:numFmt w:val="bullet"/>
      <w:lvlText w:val="•"/>
      <w:lvlJc w:val="left"/>
      <w:pPr>
        <w:ind w:left="1704" w:hanging="360"/>
      </w:pPr>
      <w:rPr/>
    </w:lvl>
    <w:lvl w:ilvl="4">
      <w:start w:val="1"/>
      <w:numFmt w:val="bullet"/>
      <w:lvlText w:val="•"/>
      <w:lvlJc w:val="left"/>
      <w:pPr>
        <w:ind w:left="2113" w:hanging="360"/>
      </w:pPr>
      <w:rPr/>
    </w:lvl>
    <w:lvl w:ilvl="5">
      <w:start w:val="1"/>
      <w:numFmt w:val="bullet"/>
      <w:lvlText w:val="•"/>
      <w:lvlJc w:val="left"/>
      <w:pPr>
        <w:ind w:left="2521" w:hanging="360"/>
      </w:pPr>
      <w:rPr/>
    </w:lvl>
    <w:lvl w:ilvl="6">
      <w:start w:val="1"/>
      <w:numFmt w:val="bullet"/>
      <w:lvlText w:val="•"/>
      <w:lvlJc w:val="left"/>
      <w:pPr>
        <w:ind w:left="2929" w:hanging="360"/>
      </w:pPr>
      <w:rPr/>
    </w:lvl>
    <w:lvl w:ilvl="7">
      <w:start w:val="1"/>
      <w:numFmt w:val="bullet"/>
      <w:lvlText w:val="•"/>
      <w:lvlJc w:val="left"/>
      <w:pPr>
        <w:ind w:left="3338" w:hanging="360"/>
      </w:pPr>
      <w:rPr/>
    </w:lvl>
    <w:lvl w:ilvl="8">
      <w:start w:val="1"/>
      <w:numFmt w:val="bullet"/>
      <w:lvlText w:val="•"/>
      <w:lvlJc w:val="left"/>
      <w:pPr>
        <w:ind w:left="3746" w:hanging="360"/>
      </w:pPr>
      <w:rPr/>
    </w:lvl>
  </w:abstractNum>
  <w:abstractNum w:abstractNumId="4">
    <w:lvl w:ilvl="0">
      <w:start w:val="1"/>
      <w:numFmt w:val="bullet"/>
      <w:lvlText w:val="☐"/>
      <w:lvlJc w:val="left"/>
      <w:pPr>
        <w:ind w:left="478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1">
      <w:start w:val="1"/>
      <w:numFmt w:val="bullet"/>
      <w:lvlText w:val="•"/>
      <w:lvlJc w:val="left"/>
      <w:pPr>
        <w:ind w:left="888" w:hanging="360"/>
      </w:pPr>
      <w:rPr/>
    </w:lvl>
    <w:lvl w:ilvl="2">
      <w:start w:val="1"/>
      <w:numFmt w:val="bullet"/>
      <w:lvlText w:val="•"/>
      <w:lvlJc w:val="left"/>
      <w:pPr>
        <w:ind w:left="1296" w:hanging="360"/>
      </w:pPr>
      <w:rPr/>
    </w:lvl>
    <w:lvl w:ilvl="3">
      <w:start w:val="1"/>
      <w:numFmt w:val="bullet"/>
      <w:lvlText w:val="•"/>
      <w:lvlJc w:val="left"/>
      <w:pPr>
        <w:ind w:left="1704" w:hanging="360"/>
      </w:pPr>
      <w:rPr/>
    </w:lvl>
    <w:lvl w:ilvl="4">
      <w:start w:val="1"/>
      <w:numFmt w:val="bullet"/>
      <w:lvlText w:val="•"/>
      <w:lvlJc w:val="left"/>
      <w:pPr>
        <w:ind w:left="2113" w:hanging="360"/>
      </w:pPr>
      <w:rPr/>
    </w:lvl>
    <w:lvl w:ilvl="5">
      <w:start w:val="1"/>
      <w:numFmt w:val="bullet"/>
      <w:lvlText w:val="•"/>
      <w:lvlJc w:val="left"/>
      <w:pPr>
        <w:ind w:left="2521" w:hanging="360"/>
      </w:pPr>
      <w:rPr/>
    </w:lvl>
    <w:lvl w:ilvl="6">
      <w:start w:val="1"/>
      <w:numFmt w:val="bullet"/>
      <w:lvlText w:val="•"/>
      <w:lvlJc w:val="left"/>
      <w:pPr>
        <w:ind w:left="2929" w:hanging="360"/>
      </w:pPr>
      <w:rPr/>
    </w:lvl>
    <w:lvl w:ilvl="7">
      <w:start w:val="1"/>
      <w:numFmt w:val="bullet"/>
      <w:lvlText w:val="•"/>
      <w:lvlJc w:val="left"/>
      <w:pPr>
        <w:ind w:left="3338" w:hanging="360"/>
      </w:pPr>
      <w:rPr/>
    </w:lvl>
    <w:lvl w:ilvl="8">
      <w:start w:val="1"/>
      <w:numFmt w:val="bullet"/>
      <w:lvlText w:val="•"/>
      <w:lvlJc w:val="left"/>
      <w:pPr>
        <w:ind w:left="3746" w:hanging="360"/>
      </w:pPr>
      <w:rPr/>
    </w:lvl>
  </w:abstractNum>
  <w:abstractNum w:abstractNumId="5">
    <w:lvl w:ilvl="0">
      <w:start w:val="1"/>
      <w:numFmt w:val="bullet"/>
      <w:lvlText w:val="☐"/>
      <w:lvlJc w:val="left"/>
      <w:pPr>
        <w:ind w:left="3307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1">
      <w:start w:val="1"/>
      <w:numFmt w:val="bullet"/>
      <w:lvlText w:val="•"/>
      <w:lvlJc w:val="left"/>
      <w:pPr>
        <w:ind w:left="3708" w:hanging="360"/>
      </w:pPr>
      <w:rPr/>
    </w:lvl>
    <w:lvl w:ilvl="2">
      <w:start w:val="1"/>
      <w:numFmt w:val="bullet"/>
      <w:lvlText w:val="•"/>
      <w:lvlJc w:val="left"/>
      <w:pPr>
        <w:ind w:left="4116" w:hanging="360"/>
      </w:pPr>
      <w:rPr/>
    </w:lvl>
    <w:lvl w:ilvl="3">
      <w:start w:val="1"/>
      <w:numFmt w:val="bullet"/>
      <w:lvlText w:val="•"/>
      <w:lvlJc w:val="left"/>
      <w:pPr>
        <w:ind w:left="4524" w:hanging="360"/>
      </w:pPr>
      <w:rPr/>
    </w:lvl>
    <w:lvl w:ilvl="4">
      <w:start w:val="1"/>
      <w:numFmt w:val="bullet"/>
      <w:lvlText w:val="•"/>
      <w:lvlJc w:val="left"/>
      <w:pPr>
        <w:ind w:left="4932" w:hanging="360"/>
      </w:pPr>
      <w:rPr/>
    </w:lvl>
    <w:lvl w:ilvl="5">
      <w:start w:val="1"/>
      <w:numFmt w:val="bullet"/>
      <w:lvlText w:val="•"/>
      <w:lvlJc w:val="left"/>
      <w:pPr>
        <w:ind w:left="5340" w:hanging="360"/>
      </w:pPr>
      <w:rPr/>
    </w:lvl>
    <w:lvl w:ilvl="6">
      <w:start w:val="1"/>
      <w:numFmt w:val="bullet"/>
      <w:lvlText w:val="•"/>
      <w:lvlJc w:val="left"/>
      <w:pPr>
        <w:ind w:left="5748" w:hanging="360"/>
      </w:pPr>
      <w:rPr/>
    </w:lvl>
    <w:lvl w:ilvl="7">
      <w:start w:val="1"/>
      <w:numFmt w:val="bullet"/>
      <w:lvlText w:val="•"/>
      <w:lvlJc w:val="left"/>
      <w:pPr>
        <w:ind w:left="6156" w:hanging="360"/>
      </w:pPr>
      <w:rPr/>
    </w:lvl>
    <w:lvl w:ilvl="8">
      <w:start w:val="1"/>
      <w:numFmt w:val="bullet"/>
      <w:lvlText w:val="•"/>
      <w:lvlJc w:val="left"/>
      <w:pPr>
        <w:ind w:left="6564" w:hanging="360"/>
      </w:pPr>
      <w:rPr/>
    </w:lvl>
  </w:abstractNum>
  <w:abstractNum w:abstractNumId="6">
    <w:lvl w:ilvl="0">
      <w:start w:val="1"/>
      <w:numFmt w:val="bullet"/>
      <w:lvlText w:val="☐"/>
      <w:lvlJc w:val="left"/>
      <w:pPr>
        <w:ind w:left="3306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1">
      <w:start w:val="1"/>
      <w:numFmt w:val="bullet"/>
      <w:lvlText w:val="•"/>
      <w:lvlJc w:val="left"/>
      <w:pPr>
        <w:ind w:left="3708" w:hanging="360"/>
      </w:pPr>
      <w:rPr/>
    </w:lvl>
    <w:lvl w:ilvl="2">
      <w:start w:val="1"/>
      <w:numFmt w:val="bullet"/>
      <w:lvlText w:val="•"/>
      <w:lvlJc w:val="left"/>
      <w:pPr>
        <w:ind w:left="4116" w:hanging="360"/>
      </w:pPr>
      <w:rPr/>
    </w:lvl>
    <w:lvl w:ilvl="3">
      <w:start w:val="1"/>
      <w:numFmt w:val="bullet"/>
      <w:lvlText w:val="•"/>
      <w:lvlJc w:val="left"/>
      <w:pPr>
        <w:ind w:left="4524" w:hanging="360"/>
      </w:pPr>
      <w:rPr/>
    </w:lvl>
    <w:lvl w:ilvl="4">
      <w:start w:val="1"/>
      <w:numFmt w:val="bullet"/>
      <w:lvlText w:val="•"/>
      <w:lvlJc w:val="left"/>
      <w:pPr>
        <w:ind w:left="4932" w:hanging="360"/>
      </w:pPr>
      <w:rPr/>
    </w:lvl>
    <w:lvl w:ilvl="5">
      <w:start w:val="1"/>
      <w:numFmt w:val="bullet"/>
      <w:lvlText w:val="•"/>
      <w:lvlJc w:val="left"/>
      <w:pPr>
        <w:ind w:left="5340" w:hanging="360"/>
      </w:pPr>
      <w:rPr/>
    </w:lvl>
    <w:lvl w:ilvl="6">
      <w:start w:val="1"/>
      <w:numFmt w:val="bullet"/>
      <w:lvlText w:val="•"/>
      <w:lvlJc w:val="left"/>
      <w:pPr>
        <w:ind w:left="5748" w:hanging="360"/>
      </w:pPr>
      <w:rPr/>
    </w:lvl>
    <w:lvl w:ilvl="7">
      <w:start w:val="1"/>
      <w:numFmt w:val="bullet"/>
      <w:lvlText w:val="•"/>
      <w:lvlJc w:val="left"/>
      <w:pPr>
        <w:ind w:left="6156" w:hanging="360"/>
      </w:pPr>
      <w:rPr/>
    </w:lvl>
    <w:lvl w:ilvl="8">
      <w:start w:val="1"/>
      <w:numFmt w:val="bullet"/>
      <w:lvlText w:val="•"/>
      <w:lvlJc w:val="left"/>
      <w:pPr>
        <w:ind w:left="6564" w:hanging="360"/>
      </w:pPr>
      <w:rPr/>
    </w:lvl>
  </w:abstractNum>
  <w:abstractNum w:abstractNumId="7">
    <w:lvl w:ilvl="0">
      <w:start w:val="1"/>
      <w:numFmt w:val="bullet"/>
      <w:lvlText w:val="☐"/>
      <w:lvlJc w:val="left"/>
      <w:pPr>
        <w:ind w:left="3306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1">
      <w:start w:val="1"/>
      <w:numFmt w:val="bullet"/>
      <w:lvlText w:val="•"/>
      <w:lvlJc w:val="left"/>
      <w:pPr>
        <w:ind w:left="3708" w:hanging="360"/>
      </w:pPr>
      <w:rPr/>
    </w:lvl>
    <w:lvl w:ilvl="2">
      <w:start w:val="1"/>
      <w:numFmt w:val="bullet"/>
      <w:lvlText w:val="•"/>
      <w:lvlJc w:val="left"/>
      <w:pPr>
        <w:ind w:left="4116" w:hanging="360"/>
      </w:pPr>
      <w:rPr/>
    </w:lvl>
    <w:lvl w:ilvl="3">
      <w:start w:val="1"/>
      <w:numFmt w:val="bullet"/>
      <w:lvlText w:val="•"/>
      <w:lvlJc w:val="left"/>
      <w:pPr>
        <w:ind w:left="4524" w:hanging="360"/>
      </w:pPr>
      <w:rPr/>
    </w:lvl>
    <w:lvl w:ilvl="4">
      <w:start w:val="1"/>
      <w:numFmt w:val="bullet"/>
      <w:lvlText w:val="•"/>
      <w:lvlJc w:val="left"/>
      <w:pPr>
        <w:ind w:left="4932" w:hanging="360"/>
      </w:pPr>
      <w:rPr/>
    </w:lvl>
    <w:lvl w:ilvl="5">
      <w:start w:val="1"/>
      <w:numFmt w:val="bullet"/>
      <w:lvlText w:val="•"/>
      <w:lvlJc w:val="left"/>
      <w:pPr>
        <w:ind w:left="5340" w:hanging="360"/>
      </w:pPr>
      <w:rPr/>
    </w:lvl>
    <w:lvl w:ilvl="6">
      <w:start w:val="1"/>
      <w:numFmt w:val="bullet"/>
      <w:lvlText w:val="•"/>
      <w:lvlJc w:val="left"/>
      <w:pPr>
        <w:ind w:left="5748" w:hanging="360"/>
      </w:pPr>
      <w:rPr/>
    </w:lvl>
    <w:lvl w:ilvl="7">
      <w:start w:val="1"/>
      <w:numFmt w:val="bullet"/>
      <w:lvlText w:val="•"/>
      <w:lvlJc w:val="left"/>
      <w:pPr>
        <w:ind w:left="6156" w:hanging="360"/>
      </w:pPr>
      <w:rPr/>
    </w:lvl>
    <w:lvl w:ilvl="8">
      <w:start w:val="1"/>
      <w:numFmt w:val="bullet"/>
      <w:lvlText w:val="•"/>
      <w:lvlJc w:val="left"/>
      <w:pPr>
        <w:ind w:left="6564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before="53" w:lineRule="auto"/>
      <w:ind w:left="1700"/>
    </w:pPr>
    <w:rPr>
      <w:rFonts w:ascii="Arial" w:cs="Arial" w:eastAsia="Arial" w:hAnsi="Arial"/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iawg.net/misp-to-csrh/templates" TargetMode="External"/><Relationship Id="rId7" Type="http://schemas.openxmlformats.org/officeDocument/2006/relationships/header" Target="header2.xm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