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416"/>
        <w:gridCol w:w="4323"/>
        <w:gridCol w:w="6222"/>
        <w:tblGridChange w:id="0">
          <w:tblGrid>
            <w:gridCol w:w="988"/>
            <w:gridCol w:w="1416"/>
            <w:gridCol w:w="4323"/>
            <w:gridCol w:w="6222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Unidad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Duración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Índice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Método de capacitación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Duración total del taller: 8 horas 50 min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Bienvenida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Presentación del facilitador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Actividades para romper el hielo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Temario del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Expectativas de los participantes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Objetivos del curso (opcional)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Aspectos generales/área de estacionamiento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Intercambio de ideas</w:t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 de conocimientos al inicio de la 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Importancia de la evacuación uterina en contextos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Debate asistido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Aclaración de valores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grupal: Cruzar la línea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Revisión de la legislación sobre aborto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Casos prácticos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Proceso en grupos pequeños o con el grupo general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 min. Receso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Opciones de métodos de evacuación uterina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 interactiva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Asesoramiento sobre opciones de métodos de evacuación uterina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Casos prácticos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Proceso en grupos pequeños o con el grupo general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Métodos anticonceptivos posteriores al aborto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Consideraciones especiales para mujeres en contextos de refugio y desplazamiento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Consentimiento informado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Repaso de copias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Casos prácticos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Evaluación clínica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Determinación de la elegibilidad para la evacuación uterina con medicamentos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Presentación interactiva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Casos prácticos y análisis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hora. Almuerzo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Modo de uso de la mifepristona y/o el misoprostol, efectos esperados, efectos secundarios y signos </w:t>
              <w:br w:type="textWrapping"/>
              <w:t xml:space="preserve">de alerta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 hora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Servicios de evacuación uterina con mifepristona </w:t>
              <w:br w:type="textWrapping"/>
              <w:t xml:space="preserve">y/o misoprostol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Dramatizaciones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 min. Receso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Manejo de las complicaciones de la evacuación uterina con medicamentos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Seguimiento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Trabajo en grupos pequeños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shock y causas subyacentes en la atención posterior al aborto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Utilización de un plan de monitoreo para garantizar la calidad de la atención y mantener los servicios de evacuación uterina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Revisión de un plan de trabajo para integrar la evacuación uterina en contextos de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con planilla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Actividades de cierre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Revisión de los objetivos del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Revisión de las expectativas de los participantes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Puntos resumidos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del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 final de conocimientos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Ceremonia de entrega de certificados de finalización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7658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5638" y="3446469"/>
                        <a:ext cx="10060725" cy="667062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1303.0000305175781" w:right="0" w:firstLine="130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EVACUACIÓN UTERINA CON MEDICAMENTOS EN CONTEXTOS DE CRISIS: TEMARIO 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MODELO PARA UNA CAPACITACIÓN INDEPENDIENTE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7658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0250" cy="6765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419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