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3"/>
        <w:gridCol w:w="4149"/>
        <w:gridCol w:w="4067"/>
        <w:gridCol w:w="2536"/>
        <w:tblGridChange w:id="0">
          <w:tblGrid>
            <w:gridCol w:w="1973"/>
            <w:gridCol w:w="4149"/>
            <w:gridCol w:w="4067"/>
            <w:gridCol w:w="253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Tiempo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Contenido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Al finalizar la unidad, los participantes podrán: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Metodología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1: UNIDAD 1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Duración: 8 horas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e1d0" w:val="clear"/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Sesión 1: Bienvenida y presentación (1hora 10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8:30-8:50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Presentaciones de los participantes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Conocerse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participativa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8:50-9:05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Descripción general del taller de capacitación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los contenidos de la capacitación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9:05-9:20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Fijación de expectativas y reglas básicas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Establecer las normas y expectativas con respecto </w:t>
              <w:br w:type="textWrapping"/>
              <w:t xml:space="preserve">a la 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9:20-9:40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los conocimientos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Completar la evaluación de los conocimientos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Trabajo individual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9:40-9:50 (10 min) Receso para colación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ae1d0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2: Descripción general del marco de principios humanitarios y rendición de cuentas (1 hora)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9:50-10:50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Marco de principios humanitarios y rendición de cuentas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las complejidades de los contextos de crisis y por qué los estándares y principios globales para la intervención humanitaria son importantes y han evolucionado con el transcurso de los años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el PSIM para la Salud Sexual y Reproductiva y de qué manera este se relaciona con la salud en contextos de emergencias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3: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Descripción general de los anticonceptivos reversibles de acción prolongada (ARAP) (1 hora 30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10:50-11:10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Definición de términos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Definir los términos "planificación familiar", "anticoncepción" y "momento oportuno </w:t>
              <w:br w:type="textWrapping"/>
              <w:t xml:space="preserve">y espaciamientos saludables del embarazo"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11:10-11:50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Actualizaciones en tecnología de los anticonceptivos para métodos ARAP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i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las características básicas de los métodos ARAP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11:50-12:20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Repaso de los criterios médicos de elegibilidad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Mostrar y poner en práctica el uso de la Aplicación /Rueda de la OMS con los criterios médicos de elegibilidad para el uso de anticonceptivos (CME) </w:t>
              <w:br w:type="textWrapping"/>
              <w:t xml:space="preserve">y el Cuadro de referencia rápida al momento de recomendar métodos anticonceptivos seguros </w:t>
              <w:br w:type="textWrapping"/>
              <w:t xml:space="preserve">y efectivos para clientas con condiciones de salud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eaaaa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12:20-13:00 Receso para almorzar (40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4: Consejería de planificación familiar (ECB+) (3 horas)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13:00-13:20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Introducción a la consejería de planificación familiar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la consejería de planificación familiar, en especial durante situaciones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13:20-14:00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Consejería de planificación familiar (utilizando ECB+)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Demostrar el uso de las herramientas de apoyo para el trabajo de ECB+ a fin de ayudar a tomar una decisión informada respecto de si usar o no un método anticonceptivo y cuál elegir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Demostración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Dramatización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14:00-14:10 (10 minutos) Receso para colación sin interrupción del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14:10-16:10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de consejería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Practicar cómo usar las herramientas de apoyo para el trabajo de ECB+ a fin de ayudar a tomar una decisión informada respecto de si usar o no un método anticonceptivo y cuál elegir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la consejería de planificación familiar, en especial durante situaciones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Dramatización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16:10-16:30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de la actividad y cierre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Tarea para el hogar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Breve evaluación al final </w:t>
              <w:br w:type="textWrapping"/>
              <w:t xml:space="preserve">del día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348"/>
              </w:tabs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Tarea: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Repasar los materiales en el libro de actividades para los participantes y en las copias impresas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2: UNIDAD 2</w:t>
            </w:r>
          </w:p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Duración: 8 horas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8:30-8:40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Resumen del día 1: Unidad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Resumen de la sesión del día anterior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Respuesta a consultas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 de los participantes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Preguntas y respuestas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5: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Atención de la salud sexual y reproductiva basada en derechos (50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8:40-9:30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Atención de la salud sexual y reproductiva basada </w:t>
              <w:br w:type="textWrapping"/>
              <w:t xml:space="preserve">en derechos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los principios fundamentales de la atención de la salud sexual y reproductiva basada en derechos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Proporcionar atención de la salud sexual y reproductiva basada en derechos en contextos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Estudio de caso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6: Prevención de infecciones en la prestación de servicios de ARAP (1 hora 30 minu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tos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9:30-11:00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Prevención de infecciones en la prestación de servicios de ARAP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las precauciones estándares que deben tomarse para controlar y prevenir infecciones.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Mostrar los pasos de manipulación </w:t>
              <w:br w:type="textWrapping"/>
              <w:t xml:space="preserve">y procesamiento de instrumentos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cómo manipular, separar y desechar residuos contaminados y no contaminados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prácticas para la prevención de infecciones recomendadas en la prestación </w:t>
              <w:br w:type="textWrapping"/>
              <w:t xml:space="preserve">de servicios de ARAP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en la estación </w:t>
              <w:br w:type="textWrapping"/>
              <w:t xml:space="preserve">de destrezas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11:00-11:10 (10 minutos) Receso para colación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7: Evaluación de destrezas previas a la práctica, video y demostración (1 hora 50 minutos)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11:10-12:10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destrezas: Técnica de colocación </w:t>
              <w:br w:type="textWrapping"/>
              <w:t xml:space="preserve">y retiro de lo siguiente: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DIU T de cobre</w:t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una varilla (NEXPLANON)</w:t>
            </w:r>
          </w:p>
          <w:p w:rsidR="00000000" w:rsidDel="00000000" w:rsidP="00000000" w:rsidRDefault="00000000" w:rsidRPr="00000000" w14:paraId="0000009D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dos varillas (Jadelle </w:t>
              <w:br w:type="textWrapping"/>
              <w:t xml:space="preserve">y Sino-Implant [II] / Levoplant)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Nota: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Evaluar qué tipo de implante está disponible en el contexto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Revisar las listas de verificación de los procedimientos con el facilitador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Demostrar las destrezas para la carga, colocación </w:t>
              <w:br w:type="textWrapping"/>
              <w:t xml:space="preserve">y retiro de DIU de cobre en el período del intervalo en un modelo anatómico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Demostrar las destrezas para la colocación y retiro de implantes de una varilla/dos varillas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destrezas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12:10-13:00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Demostración de destrezas: Técnica de colocación </w:t>
              <w:br w:type="textWrapping"/>
              <w:t xml:space="preserve">y retiro de lo siguiente:</w:t>
            </w:r>
          </w:p>
          <w:p w:rsidR="00000000" w:rsidDel="00000000" w:rsidP="00000000" w:rsidRDefault="00000000" w:rsidRPr="00000000" w14:paraId="000000A5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DIU T de cobre</w:t>
            </w:r>
          </w:p>
          <w:p w:rsidR="00000000" w:rsidDel="00000000" w:rsidP="00000000" w:rsidRDefault="00000000" w:rsidRPr="00000000" w14:paraId="000000A6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una varilla (NEXPLANON)</w:t>
            </w:r>
          </w:p>
          <w:p w:rsidR="00000000" w:rsidDel="00000000" w:rsidP="00000000" w:rsidRDefault="00000000" w:rsidRPr="00000000" w14:paraId="000000A7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dos varillas (Jadelle </w:t>
              <w:br w:type="textWrapping"/>
              <w:t xml:space="preserve">y Sino-Implant [II] / Levoplant)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Nota: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Hacer las demostraciones con cualquier tipo de implante que esté disponible en el contexto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Observar los pasos de la demostración de carga, colocación y retiro de DIU de cobre en el período del intervalo mediante un video y sobre un modelo anatómico, utilizando una lista de verificación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Observar los pasos de la demostración de colocación y retiro de implantes de una y dos varillas mediante un video y sobre un modelo de brazo, utilizando una lista de verificación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Demostración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13:00-13:40 (40 minutos) Almuerzo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8: Laboratorio de destrezas: Práctica de colocación y retiro de DIU e implantes (2 horas 30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13:40-16:10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de destrezas: Técnica de colocación y retiro de lo siguiente:</w:t>
            </w:r>
          </w:p>
          <w:p w:rsidR="00000000" w:rsidDel="00000000" w:rsidP="00000000" w:rsidRDefault="00000000" w:rsidRPr="00000000" w14:paraId="000000B8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DIU T de cobre</w:t>
            </w:r>
          </w:p>
          <w:p w:rsidR="00000000" w:rsidDel="00000000" w:rsidP="00000000" w:rsidRDefault="00000000" w:rsidRPr="00000000" w14:paraId="000000B9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una varilla (NEXPLANON)</w:t>
            </w:r>
          </w:p>
          <w:p w:rsidR="00000000" w:rsidDel="00000000" w:rsidP="00000000" w:rsidRDefault="00000000" w:rsidRPr="00000000" w14:paraId="000000BA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Implante de dos varillas (Jadelle </w:t>
              <w:br w:type="textWrapping"/>
              <w:t xml:space="preserve">y Sino-Implant [II] / Levoplant)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Nota: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Hacer las demostraciones con cualquier tipo de implante que esté disponible en el contexto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Poner en práctica los pasos correctos para cargar un DIU T 380A de cobre en su envase estéril con la técnica “sin contacto”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Practicar los pasos correctos para colocar y retirar los DIU de cobre en un modelo anatómico utilizando una lista de verificación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Practicar los pasos correctos para colocar y retirar implantes de una o dos varillas en un modelo de brazo utilizando una lista de verificación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de destrezas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16:10-16:20 (10 minutos) Receso para colación sin interrupción del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16:30-16:30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de la actividad y cierre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Tarea para el hogar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left"/>
              <w:rPr>
                <w:color w:val="000000"/>
                <w:sz w:val="17"/>
                <w:szCs w:val="1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Breve evaluación al final </w:t>
              <w:br w:type="textWrapping"/>
              <w:t xml:space="preserve">del día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Tarea: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Repasar los materiales en el libro de actividades para los participantes y en las copias impresas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CF">
            <w:pPr>
              <w:ind w:right="-5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3: UNIDAD 3</w:t>
            </w:r>
          </w:p>
          <w:p w:rsidR="00000000" w:rsidDel="00000000" w:rsidP="00000000" w:rsidRDefault="00000000" w:rsidRPr="00000000" w14:paraId="000000D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Duración: 8 horas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8:30-8:40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Resumen del día 2: Unidad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Resumen de la sesión del día anterior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Respuesta a consultas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 de los participantes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Preguntas y respuestas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9: Aclaración de valores y análisis de actitudes (1 hora)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8:40-9:40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Aclaración de valores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Comprender cómo las opiniones, los valores y las actitudes del proveedor pueden afectar, en forma positiva o negativa, su relación con la persona </w:t>
              <w:br w:type="textWrapping"/>
              <w:t xml:space="preserve">que atiende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Tomar conciencia de sus propias creencias, valores y actitudes para evitar imponerlas a esa persona </w:t>
              <w:br w:type="textWrapping"/>
              <w:t xml:space="preserve">u obstruir la comunicación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interactiva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10: Cómo controlar los efectos secundarios y posibles complicaciones y abordar mitos y rumores sobre los métodos ARAP (1 hora 10 minutos)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9:40-10:50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Cómo controlar los efectos secundarios y posibles complicaciones y abordar rumores e ideas erradas sobre los métodos ARAP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Controlar los efectos secundarios comunes y las posibles complicaciones de los métodos ARAP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Abordar rumores e ideas erradas relacionadas con los DIU y los implantes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10:50-11:00 (10 minutos) Receso para colación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11: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Laboratorio de destrezas: Práctica de colocación y retiro de DIU e implantes (2 horas)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11:00-13:00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de colocación y retiro de DIU e implantes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Poner en práctica los pasos correctos para cargar un DIU T 380A de cobre en su envase estéril con la técnica “sin contacto”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Practicar los pasos correctos para colocar y retirar los DIU de cobre en un modelo anatómico utilizando una lista de verificación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Practicar los pasos correctos para colocar y retirar implantes de una o dos varillas en un modelo de brazo utilizando una lista de verificación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Repaso y análisis grupal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Práctica de destrezas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13:00-13:40 (40 minutos) Almuerzo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12: Evaluación de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conocimientos y destrezas posterior a la práctica (1 hora 20 minutos)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13:40-14:00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los conocimientos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Completar la evaluación de los conocimientos posterior a la práctica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Trabajo individual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14:00-15:00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destrezas: Técnica para la colocación </w:t>
              <w:br w:type="textWrapping"/>
              <w:t xml:space="preserve">y el retiro de DIU e implantes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Completar una evaluación de los conocimientos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Ser evaluados después de la capacitación en cuanto a técnicas de colocación y retiro de DIU e implantes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Planificar realizar una práctica clínica supervisada después de la 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destrezas posterior a la práctica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13: Próximos pasos y cierre (1 hora 30 minutos)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15:00-16:30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Próximos pasos y cierre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Plan de acción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Certificado de finalización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la capacitación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Conclusión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las opciones para la práctica constante de destrezas y actividades posteriores a la capacitación (como consultas entre colegas, ejercicios clínicos, mentorías y entrenamiento en el trabajo)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el uso de los recursos de capacitación y de las herramientas de apoyo para el trabajo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Elaborar un plan de acción simple para la prestación de servicios de ARAP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de qué manera la capacitación cumplió con sus expectativas y los objetivos del curso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de qué manera la capacitación cumplió con sus expectativas y los objetivos del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Análisis grupal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Plan de acción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Conclusión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134" w:top="638" w:left="1440" w:right="144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60725" cy="65820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400" y="3455662"/>
                        <a:ext cx="10051200" cy="648677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72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ANTICONCEPTIVOS REVERSIBLES DE ACCIÓN PROLONGADA EN CONTEXTOS DE CRISIS: 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TEMARIO MODELO PARA UNA CAPACITACIÓN DE 3 DÍAS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60725" cy="65820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0725" cy="6582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_tradnl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