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4" w:rsidRPr="00596C2C" w:rsidRDefault="008159AA" w:rsidP="00596C2C">
      <w:pPr>
        <w:pStyle w:val="Heading2"/>
        <w:bidi/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</w:pPr>
      <w:r w:rsidRPr="00596C2C">
        <w:rPr>
          <w:rFonts w:ascii="Adelle Sans ARA" w:eastAsia="Adelle Sans ARA" w:hAnsi="Adelle Sans ARA" w:cs="Adelle Sans ARA"/>
          <w:bCs/>
          <w:color w:val="auto"/>
          <w:sz w:val="28"/>
          <w:szCs w:val="28"/>
          <w:shd w:val="clear" w:color="auto" w:fill="FFFFFF" w:themeFill="background1"/>
          <w:rtl/>
          <w:lang w:val="en-US"/>
        </w:rPr>
        <w:t>نموذج د: أجندة ورشة العمل</w:t>
      </w:r>
    </w:p>
    <w:p w:rsidR="00FC1954" w:rsidRPr="00FC1954" w:rsidRDefault="00FC1954" w:rsidP="008159AA">
      <w:pPr>
        <w:jc w:val="right"/>
        <w:rPr>
          <w:rFonts w:ascii="Adelle Sans ARA" w:eastAsiaTheme="majorEastAsia" w:hAnsi="Adelle Sans ARA" w:cs="Adelle Sans ARA"/>
          <w:b/>
          <w:color w:val="000000" w:themeColor="text1"/>
          <w:sz w:val="20"/>
          <w:szCs w:val="20"/>
          <w:rtl/>
          <w:lang w:val="en-GB"/>
        </w:rPr>
      </w:pPr>
    </w:p>
    <w:p w:rsidR="0002138F" w:rsidRPr="00FC1954" w:rsidRDefault="00FC1954" w:rsidP="00596C2C">
      <w:pPr>
        <w:bidi/>
        <w:rPr>
          <w:rFonts w:eastAsia="Calibri"/>
        </w:rPr>
      </w:pPr>
      <w:r w:rsidRPr="00FC1954">
        <w:rPr>
          <w:rFonts w:ascii="Adelle Sans ARA" w:eastAsia="Calibri" w:hAnsi="Adelle Sans ARA" w:cs="Adelle Sans ARA"/>
          <w:sz w:val="20"/>
          <w:szCs w:val="20"/>
          <w:rtl/>
        </w:rPr>
        <w:t xml:space="preserve">يقدم هذا النموذج مثالا على جدول أعمال ورشة العمل، يمكنك تعديله وتزويد المشاركين/ات به. تتوفر نسخة قابلة للتحرير من هذا النموذج كمستند </w:t>
      </w:r>
      <w:r w:rsidRPr="00FC1954">
        <w:rPr>
          <w:rFonts w:ascii="Adelle Sans ARA" w:eastAsia="Calibri" w:hAnsi="Adelle Sans ARA" w:cs="Adelle Sans ARA"/>
          <w:sz w:val="20"/>
          <w:szCs w:val="20"/>
        </w:rPr>
        <w:t>Word</w:t>
      </w:r>
      <w:r w:rsidRPr="00FC1954">
        <w:rPr>
          <w:rFonts w:ascii="Adelle Sans ARA" w:eastAsia="Calibri" w:hAnsi="Adelle Sans ARA" w:cs="Adelle Sans ARA"/>
          <w:sz w:val="20"/>
          <w:szCs w:val="20"/>
          <w:rtl/>
        </w:rPr>
        <w:t xml:space="preserve"> أو ورقة عمل </w:t>
      </w:r>
      <w:r w:rsidRPr="00FC1954">
        <w:rPr>
          <w:rFonts w:ascii="Adelle Sans ARA" w:eastAsia="Calibri" w:hAnsi="Adelle Sans ARA" w:cs="Adelle Sans ARA"/>
          <w:sz w:val="20"/>
          <w:szCs w:val="20"/>
        </w:rPr>
        <w:t>Excel</w:t>
      </w:r>
      <w:r w:rsidRPr="00FC1954">
        <w:rPr>
          <w:rFonts w:ascii="Adelle Sans ARA" w:eastAsia="Calibri" w:hAnsi="Adelle Sans ARA" w:cs="Adelle Sans ARA"/>
          <w:sz w:val="20"/>
          <w:szCs w:val="20"/>
          <w:rtl/>
        </w:rPr>
        <w:t xml:space="preserve"> عبر الإنترنت على </w:t>
      </w:r>
      <w:hyperlink r:id="rId4">
        <w:r w:rsidRPr="00FC1954">
          <w:rPr>
            <w:rFonts w:ascii="Adelle Sans ARA" w:eastAsia="Calibri" w:hAnsi="Adelle Sans ARA" w:cs="Adelle Sans ARA"/>
            <w:color w:val="0563C1"/>
            <w:sz w:val="20"/>
            <w:szCs w:val="20"/>
            <w:u w:val="single"/>
          </w:rPr>
          <w:t>https://iawg.net/misp-to-csrh/templates</w:t>
        </w:r>
      </w:hyperlink>
      <w:r w:rsidR="008159AA" w:rsidRPr="00422C57">
        <w:rPr>
          <w:rFonts w:ascii="Adelle Sans ARA" w:eastAsiaTheme="majorEastAsia" w:hAnsi="Adelle Sans ARA" w:cs="Adelle Sans ARA"/>
          <w:b/>
          <w:color w:val="000000" w:themeColor="text1"/>
          <w:sz w:val="30"/>
          <w:szCs w:val="30"/>
          <w:rtl/>
          <w:lang w:val="en-GB"/>
        </w:rPr>
        <w:br/>
      </w:r>
    </w:p>
    <w:tbl>
      <w:tblPr>
        <w:bidiVisual/>
        <w:tblW w:w="9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8"/>
        <w:gridCol w:w="3979"/>
        <w:gridCol w:w="44"/>
        <w:gridCol w:w="3935"/>
      </w:tblGrid>
      <w:tr w:rsidR="00E774D6" w:rsidRPr="00422C57" w:rsidTr="00B061CD">
        <w:trPr>
          <w:cantSplit/>
          <w:trHeight w:val="318"/>
        </w:trPr>
        <w:tc>
          <w:tcPr>
            <w:tcW w:w="9545" w:type="dxa"/>
            <w:gridSpan w:val="5"/>
            <w:tcBorders>
              <w:top w:val="nil"/>
              <w:left w:val="nil"/>
              <w:bottom w:val="single" w:sz="18" w:space="0" w:color="BA4C29"/>
              <w:right w:val="nil"/>
            </w:tcBorders>
            <w:shd w:val="clear" w:color="auto" w:fill="auto"/>
          </w:tcPr>
          <w:p w:rsidR="00FC1954" w:rsidRDefault="00FC1954" w:rsidP="00B061CD">
            <w:pPr>
              <w:bidi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  <w:bookmarkStart w:id="0" w:name="_Hlk39150472"/>
          </w:p>
          <w:p w:rsidR="00E774D6" w:rsidRPr="00422C57" w:rsidRDefault="008159AA" w:rsidP="00FC1954">
            <w:pPr>
              <w:bidi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lang w:val="en-GB"/>
              </w:rPr>
            </w:pPr>
            <w:r w:rsidRPr="00422C57"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  <w:t>اليوم الأول</w:t>
            </w:r>
          </w:p>
        </w:tc>
      </w:tr>
      <w:tr w:rsidR="008159AA" w:rsidRPr="00422C57" w:rsidTr="007D4933">
        <w:trPr>
          <w:cantSplit/>
          <w:trHeight w:val="392"/>
        </w:trPr>
        <w:tc>
          <w:tcPr>
            <w:tcW w:w="1587" w:type="dxa"/>
            <w:gridSpan w:val="2"/>
            <w:tcBorders>
              <w:top w:val="single" w:sz="18" w:space="0" w:color="BA4C2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الوقت</w:t>
            </w:r>
          </w:p>
        </w:tc>
        <w:tc>
          <w:tcPr>
            <w:tcW w:w="3979" w:type="dxa"/>
            <w:tcBorders>
              <w:top w:val="single" w:sz="18" w:space="0" w:color="BA4C2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الجلسة</w:t>
            </w:r>
          </w:p>
        </w:tc>
        <w:tc>
          <w:tcPr>
            <w:tcW w:w="3979" w:type="dxa"/>
            <w:gridSpan w:val="2"/>
            <w:tcBorders>
              <w:top w:val="single" w:sz="18" w:space="0" w:color="BA4C2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النتيجة المتوقعة</w:t>
            </w:r>
          </w:p>
        </w:tc>
      </w:tr>
      <w:tr w:rsidR="00B061CD" w:rsidRPr="00422C57" w:rsidTr="00B061CD">
        <w:trPr>
          <w:cantSplit/>
          <w:trHeight w:val="386"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061CD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8:00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>8:15</w:t>
            </w:r>
          </w:p>
        </w:tc>
        <w:tc>
          <w:tcPr>
            <w:tcW w:w="397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الترحيب والملاحظات الافتتاحية</w:t>
            </w:r>
          </w:p>
        </w:tc>
        <w:tc>
          <w:tcPr>
            <w:tcW w:w="397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B061CD" w:rsidRPr="00422C57" w:rsidTr="00B061CD">
        <w:trPr>
          <w:cantSplit/>
          <w:trHeight w:val="552"/>
        </w:trPr>
        <w:tc>
          <w:tcPr>
            <w:tcW w:w="158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061CD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8:15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8:45</w:t>
            </w:r>
          </w:p>
        </w:tc>
        <w:tc>
          <w:tcPr>
            <w:tcW w:w="3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 xml:space="preserve">التعريف بالمشاركين/ات والتوقعات واللوجستيات </w:t>
            </w:r>
            <w:r w:rsidR="00FC1954">
              <w:rPr>
                <w:rFonts w:ascii="Adelle Sans ARA" w:eastAsia="Simplified Arabic" w:hAnsi="Adelle Sans ARA" w:cs="Adelle Sans ARA" w:hint="cs"/>
                <w:sz w:val="18"/>
                <w:szCs w:val="18"/>
                <w:rtl/>
              </w:rPr>
              <w:br/>
            </w: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والقواعد الأساسية</w:t>
            </w:r>
          </w:p>
        </w:tc>
        <w:tc>
          <w:tcPr>
            <w:tcW w:w="39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الاتفاق على أهداف ورشة العمل</w:t>
            </w:r>
          </w:p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B061CD" w:rsidRPr="00422C57" w:rsidTr="00B061CD">
        <w:trPr>
          <w:cantSplit/>
          <w:trHeight w:val="702"/>
        </w:trPr>
        <w:tc>
          <w:tcPr>
            <w:tcW w:w="158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B061CD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8:45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10:15</w:t>
            </w:r>
          </w:p>
        </w:tc>
        <w:tc>
          <w:tcPr>
            <w:tcW w:w="3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1: وضع فهم مشترك</w:t>
            </w:r>
          </w:p>
        </w:tc>
        <w:tc>
          <w:tcPr>
            <w:tcW w:w="39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B061CD" w:rsidRPr="00422C57" w:rsidRDefault="00B061CD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التمهيد للنقاش بنظرة عامة على واقع تنفيذ حزمة الخدمات المبدئية وبرنامج الصحة الجنسية والإنجابية قبل الأزمة</w:t>
            </w:r>
          </w:p>
        </w:tc>
      </w:tr>
      <w:tr w:rsidR="008159AA" w:rsidRPr="00422C57" w:rsidTr="007A701E">
        <w:trPr>
          <w:cantSplit/>
          <w:trHeight w:val="43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159AA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10:15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10:30</w:t>
            </w:r>
          </w:p>
        </w:tc>
        <w:tc>
          <w:tcPr>
            <w:tcW w:w="397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159AA" w:rsidRPr="00ED06A3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</w:rPr>
            </w:pPr>
            <w:r w:rsidRPr="00ED06A3"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  <w:rtl/>
              </w:rPr>
              <w:t>استراحة</w:t>
            </w:r>
          </w:p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  <w:tc>
          <w:tcPr>
            <w:tcW w:w="397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8159AA" w:rsidRPr="00422C57" w:rsidTr="00B061CD">
        <w:trPr>
          <w:cantSplit/>
          <w:trHeight w:val="558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8159AA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10:30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12:00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2: تحديد الثغرات والفرص المتعلقة بالصحة الجنسية والإنجابية الشاملة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  <w:right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 xml:space="preserve">مسح الثغرات والفرص الحالية المتصلة ببرامج الصحة الجنسية والإنجابية الشاملة </w:t>
            </w:r>
          </w:p>
        </w:tc>
      </w:tr>
      <w:tr w:rsidR="008159AA" w:rsidRPr="00422C57" w:rsidTr="007A701E">
        <w:trPr>
          <w:cantSplit/>
          <w:trHeight w:val="42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159AA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12:00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13:00</w:t>
            </w:r>
          </w:p>
        </w:tc>
        <w:tc>
          <w:tcPr>
            <w:tcW w:w="397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159AA" w:rsidRPr="00ED06A3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</w:rPr>
            </w:pPr>
            <w:r w:rsidRPr="00ED06A3"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  <w:rtl/>
              </w:rPr>
              <w:t>الغداء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8159AA" w:rsidRPr="00422C57" w:rsidTr="00B061CD">
        <w:trPr>
          <w:cantSplit/>
          <w:trHeight w:val="546"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8159AA" w:rsidRPr="00422C57" w:rsidRDefault="00596C2C" w:rsidP="00596C2C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13:00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14:00</w:t>
            </w:r>
          </w:p>
        </w:tc>
        <w:tc>
          <w:tcPr>
            <w:tcW w:w="3979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 xml:space="preserve">الخطوة 3: تحديد أولويات التخطيط للصحة الجنسية </w:t>
            </w:r>
            <w:r w:rsidR="00FC1954">
              <w:rPr>
                <w:rFonts w:ascii="Adelle Sans ARA" w:eastAsia="Simplified Arabic" w:hAnsi="Adelle Sans ARA" w:cs="Adelle Sans ARA" w:hint="cs"/>
                <w:sz w:val="18"/>
                <w:szCs w:val="18"/>
                <w:rtl/>
              </w:rPr>
              <w:br/>
            </w: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والإنجابية الشاملة</w:t>
            </w:r>
          </w:p>
        </w:tc>
        <w:tc>
          <w:tcPr>
            <w:tcW w:w="3979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الاتفاق على مجموعة من أولويات التخطيط المتعلقة بالصحة الجنسية والإنجابية الشاملة</w:t>
            </w:r>
          </w:p>
        </w:tc>
      </w:tr>
      <w:tr w:rsidR="008159AA" w:rsidRPr="00422C57" w:rsidTr="00B061CD">
        <w:trPr>
          <w:cantSplit/>
          <w:trHeight w:val="583"/>
        </w:trPr>
        <w:tc>
          <w:tcPr>
            <w:tcW w:w="158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:rsidR="008159AA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14:00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15:00</w:t>
            </w:r>
          </w:p>
        </w:tc>
        <w:tc>
          <w:tcPr>
            <w:tcW w:w="3979" w:type="dxa"/>
            <w:tcBorders>
              <w:top w:val="single" w:sz="4" w:space="0" w:color="D9D9D9" w:themeColor="background1" w:themeShade="D9"/>
              <w:bottom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4: العمل الجماعي على أولويات التخطيط المتفق عليها للصحة الجنسية والإنجابية الشاملة</w:t>
            </w:r>
          </w:p>
        </w:tc>
        <w:tc>
          <w:tcPr>
            <w:tcW w:w="3979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إنتاج خطة عمل مفصلة وعملية لتنفيذ الأولويات الثلاث الأولى للصحة الجنسية والإنجابية</w:t>
            </w:r>
          </w:p>
        </w:tc>
      </w:tr>
      <w:tr w:rsidR="008159AA" w:rsidRPr="00422C57" w:rsidTr="007A701E">
        <w:trPr>
          <w:cantSplit/>
          <w:trHeight w:val="509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159AA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15:00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15:15</w:t>
            </w:r>
          </w:p>
        </w:tc>
        <w:tc>
          <w:tcPr>
            <w:tcW w:w="397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159AA" w:rsidRPr="00ED06A3" w:rsidRDefault="008159AA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</w:rPr>
            </w:pPr>
            <w:r w:rsidRPr="00ED06A3">
              <w:rPr>
                <w:rFonts w:ascii="Adelle Sans ARA Semibold" w:eastAsia="Simplified Arabic" w:hAnsi="Adelle Sans ARA Semibold" w:cs="Adelle Sans ARA Semibold"/>
                <w:b/>
                <w:bCs/>
                <w:sz w:val="18"/>
                <w:szCs w:val="18"/>
                <w:rtl/>
              </w:rPr>
              <w:t>استراحة</w:t>
            </w:r>
          </w:p>
        </w:tc>
        <w:tc>
          <w:tcPr>
            <w:tcW w:w="397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8159AA" w:rsidRPr="00422C57" w:rsidTr="00B061CD">
        <w:trPr>
          <w:cantSplit/>
          <w:trHeight w:val="614"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8159AA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15:15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16:45</w:t>
            </w:r>
          </w:p>
        </w:tc>
        <w:tc>
          <w:tcPr>
            <w:tcW w:w="3979" w:type="dxa"/>
            <w:tcBorders>
              <w:top w:val="nil"/>
              <w:bottom w:val="single" w:sz="4" w:space="0" w:color="D9D9D9" w:themeColor="background1" w:themeShade="D9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4 (تابع): العمل الجماعي على أولويات التخطيط المتفق عليها للصحة الجنسية والإنجابية الشاملة</w:t>
            </w:r>
          </w:p>
        </w:tc>
        <w:tc>
          <w:tcPr>
            <w:tcW w:w="3979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إنتاج خطة عمل مفصلة وعملية لتنفيذ الأولويات الثلاث الأولى للصحة الجنسية والإنجابية</w:t>
            </w:r>
          </w:p>
        </w:tc>
      </w:tr>
      <w:tr w:rsidR="008159AA" w:rsidRPr="00422C57" w:rsidTr="00B061CD">
        <w:trPr>
          <w:cantSplit/>
          <w:trHeight w:val="428"/>
        </w:trPr>
        <w:tc>
          <w:tcPr>
            <w:tcW w:w="158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8159AA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16:45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17:00</w:t>
            </w:r>
          </w:p>
        </w:tc>
        <w:tc>
          <w:tcPr>
            <w:tcW w:w="39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جلسة أسئلة وأجوبة، التحضير لليوم الثاني</w:t>
            </w:r>
          </w:p>
        </w:tc>
        <w:tc>
          <w:tcPr>
            <w:tcW w:w="397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توضيح مهمة اليوم الثاني</w:t>
            </w:r>
          </w:p>
        </w:tc>
      </w:tr>
      <w:tr w:rsidR="008159AA" w:rsidRPr="00422C57" w:rsidTr="00B061CD">
        <w:trPr>
          <w:cantSplit/>
          <w:trHeight w:val="446"/>
        </w:trPr>
        <w:tc>
          <w:tcPr>
            <w:tcW w:w="158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8" w:space="0" w:color="D9D9D9" w:themeColor="background1" w:themeShade="D9"/>
            </w:tcBorders>
            <w:shd w:val="clear" w:color="auto" w:fill="auto"/>
          </w:tcPr>
          <w:p w:rsidR="008159AA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>17:00</w:t>
            </w:r>
          </w:p>
        </w:tc>
        <w:tc>
          <w:tcPr>
            <w:tcW w:w="3979" w:type="dxa"/>
            <w:tcBorders>
              <w:top w:val="single" w:sz="4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نهاية اليوم</w:t>
            </w:r>
          </w:p>
        </w:tc>
        <w:tc>
          <w:tcPr>
            <w:tcW w:w="3979" w:type="dxa"/>
            <w:gridSpan w:val="2"/>
            <w:tcBorders>
              <w:top w:val="single" w:sz="4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:rsidR="008159AA" w:rsidRPr="00422C57" w:rsidRDefault="008159AA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E774D6" w:rsidRPr="00422C57" w:rsidTr="00422C57">
        <w:trPr>
          <w:cantSplit/>
          <w:trHeight w:val="1656"/>
        </w:trPr>
        <w:tc>
          <w:tcPr>
            <w:tcW w:w="9545" w:type="dxa"/>
            <w:gridSpan w:val="5"/>
            <w:tcBorders>
              <w:top w:val="nil"/>
              <w:left w:val="nil"/>
              <w:bottom w:val="single" w:sz="18" w:space="0" w:color="BA4C29"/>
              <w:right w:val="nil"/>
            </w:tcBorders>
            <w:shd w:val="clear" w:color="auto" w:fill="auto"/>
          </w:tcPr>
          <w:p w:rsidR="00FC1954" w:rsidRP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lang w:val="en-GB"/>
              </w:rPr>
            </w:pPr>
          </w:p>
          <w:p w:rsid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</w:p>
          <w:p w:rsid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</w:p>
          <w:p w:rsid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</w:p>
          <w:p w:rsid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</w:p>
          <w:p w:rsidR="00FC1954" w:rsidRDefault="00FC1954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</w:pPr>
          </w:p>
          <w:p w:rsidR="00FC1954" w:rsidRPr="00FC1954" w:rsidRDefault="00ED06A3" w:rsidP="00FC1954">
            <w:pPr>
              <w:jc w:val="right"/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lang w:val="en-GB"/>
              </w:rPr>
            </w:pPr>
            <w:r>
              <w:rPr>
                <w:rFonts w:ascii="Adelle Sans ARA Semibold" w:hAnsi="Adelle Sans ARA Semibold" w:cs="Adelle Sans ARA Semibold"/>
                <w:b/>
                <w:color w:val="BA4C29"/>
                <w:sz w:val="20"/>
                <w:szCs w:val="20"/>
                <w:rtl/>
                <w:lang w:val="en-GB"/>
              </w:rPr>
              <w:t>اليوم الثان</w:t>
            </w:r>
            <w:r>
              <w:rPr>
                <w:rFonts w:ascii="Adelle Sans ARA Semibold" w:hAnsi="Adelle Sans ARA Semibold" w:cs="Adelle Sans ARA Semibold" w:hint="cs"/>
                <w:b/>
                <w:color w:val="BA4C29"/>
                <w:sz w:val="20"/>
                <w:szCs w:val="20"/>
                <w:rtl/>
                <w:lang w:val="en-GB"/>
              </w:rPr>
              <w:t>ي</w:t>
            </w:r>
          </w:p>
        </w:tc>
      </w:tr>
      <w:tr w:rsidR="00FC1954" w:rsidRPr="00422C57" w:rsidTr="00747088">
        <w:trPr>
          <w:cantSplit/>
          <w:trHeight w:val="405"/>
        </w:trPr>
        <w:tc>
          <w:tcPr>
            <w:tcW w:w="1439" w:type="dxa"/>
            <w:tcBorders>
              <w:top w:val="single" w:sz="18" w:space="0" w:color="BA4C29"/>
              <w:left w:val="nil"/>
              <w:bottom w:val="nil"/>
            </w:tcBorders>
            <w:shd w:val="clear" w:color="auto" w:fill="D9D9D9" w:themeFill="background1" w:themeFillShade="D9"/>
          </w:tcPr>
          <w:p w:rsidR="00FC1954" w:rsidRPr="00FC1954" w:rsidRDefault="00FC1954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FC1954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الوقت</w:t>
            </w:r>
          </w:p>
        </w:tc>
        <w:tc>
          <w:tcPr>
            <w:tcW w:w="4171" w:type="dxa"/>
            <w:gridSpan w:val="3"/>
            <w:tcBorders>
              <w:top w:val="single" w:sz="18" w:space="0" w:color="BA4C29"/>
              <w:bottom w:val="nil"/>
            </w:tcBorders>
            <w:shd w:val="clear" w:color="auto" w:fill="D9D9D9" w:themeFill="background1" w:themeFillShade="D9"/>
          </w:tcPr>
          <w:p w:rsidR="00FC1954" w:rsidRPr="00FC1954" w:rsidRDefault="00FC1954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FC1954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الجلسة</w:t>
            </w:r>
          </w:p>
        </w:tc>
        <w:tc>
          <w:tcPr>
            <w:tcW w:w="3935" w:type="dxa"/>
            <w:tcBorders>
              <w:top w:val="single" w:sz="18" w:space="0" w:color="BA4C29"/>
              <w:bottom w:val="nil"/>
              <w:right w:val="nil"/>
            </w:tcBorders>
            <w:shd w:val="clear" w:color="auto" w:fill="D9D9D9" w:themeFill="background1" w:themeFillShade="D9"/>
          </w:tcPr>
          <w:p w:rsidR="00FC1954" w:rsidRPr="00FC1954" w:rsidRDefault="00FC1954" w:rsidP="00723C88">
            <w:pPr>
              <w:bidi/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</w:rPr>
            </w:pPr>
            <w:r w:rsidRPr="00FC1954">
              <w:rPr>
                <w:rFonts w:ascii="Adelle Sans ARA Semibold" w:eastAsia="Simplified Arabic" w:hAnsi="Adelle Sans ARA Semibold" w:cs="Adelle Sans ARA Semibold"/>
                <w:b/>
                <w:sz w:val="18"/>
                <w:szCs w:val="18"/>
                <w:rtl/>
              </w:rPr>
              <w:t>النتيجة المتوقعة</w:t>
            </w:r>
          </w:p>
        </w:tc>
      </w:tr>
      <w:tr w:rsidR="00422C57" w:rsidRPr="00422C57" w:rsidTr="00B061CD">
        <w:trPr>
          <w:cantSplit/>
          <w:trHeight w:val="941"/>
        </w:trPr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9:00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10:30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5: تقديم التقارير والعثور على أوجه التفاعل (المجموعات 1 – 3)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وضع خطة عمل وطنية موحدة (أو دون وطنية، حسب السياق) لتنفيذ التدخلات ذات الأولوية المتعلقة بالصحة الجنسية والإنجابية الشاملة</w:t>
            </w:r>
          </w:p>
        </w:tc>
      </w:tr>
      <w:tr w:rsidR="00422C57" w:rsidRPr="00422C57" w:rsidTr="00C66F95">
        <w:trPr>
          <w:cantSplit/>
          <w:trHeight w:val="481"/>
        </w:trPr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>10:30- 10:45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 Semibold" w:eastAsia="Simplified Arabic" w:hAnsi="Adelle Sans ARA Semibold" w:cs="Adelle Sans ARA Semibold"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sz w:val="18"/>
                <w:szCs w:val="18"/>
                <w:rtl/>
              </w:rPr>
              <w:t>استراحة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422C57" w:rsidRPr="00422C57" w:rsidTr="00B061CD">
        <w:trPr>
          <w:cantSplit/>
          <w:trHeight w:val="699"/>
        </w:trPr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10:45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12:00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الخطوة 5 (تابع): تقديم التقارير والعثور على أوجه التفاعل (المجموعات 1 – 3)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وضع خطة عمل وطنية موحدة لتنفيذ التدخلات ذات الأولوية المتعلقة بالصحة الجنسية والإنجابية الشاملة</w:t>
            </w:r>
          </w:p>
        </w:tc>
      </w:tr>
      <w:tr w:rsidR="00422C57" w:rsidRPr="00422C57" w:rsidTr="00C66F95">
        <w:trPr>
          <w:cantSplit/>
          <w:trHeight w:val="394"/>
        </w:trPr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12:00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13:00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 Semibold" w:eastAsia="Simplified Arabic" w:hAnsi="Adelle Sans ARA Semibold" w:cs="Adelle Sans ARA Semibold"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sz w:val="18"/>
                <w:szCs w:val="18"/>
                <w:rtl/>
              </w:rPr>
              <w:t>الغداء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</w:p>
        </w:tc>
      </w:tr>
      <w:tr w:rsidR="00422C57" w:rsidRPr="00422C57" w:rsidTr="00B061CD">
        <w:trPr>
          <w:cantSplit/>
          <w:trHeight w:val="552"/>
        </w:trPr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13:00 </w:t>
            </w:r>
            <w:r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15:00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الاتفاق على الخطوات اللاحقة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تحديد نقطة اتصال رئيسية لكل بند من خطة العمل والاتفاق على الخطوات التي تلي الورشة</w:t>
            </w:r>
          </w:p>
        </w:tc>
      </w:tr>
      <w:tr w:rsidR="00422C57" w:rsidRPr="00422C57" w:rsidTr="00C66F95">
        <w:trPr>
          <w:cantSplit/>
          <w:trHeight w:val="450"/>
        </w:trPr>
        <w:tc>
          <w:tcPr>
            <w:tcW w:w="143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lang w:val="en-GB"/>
              </w:rPr>
            </w:pPr>
            <w:r w:rsidRPr="00ED06A3"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15:00 </w:t>
            </w:r>
            <w:r w:rsidRPr="00ED06A3"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 w:rsidRPr="00ED06A3"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15:15</w:t>
            </w:r>
          </w:p>
        </w:tc>
        <w:tc>
          <w:tcPr>
            <w:tcW w:w="417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 Semibold" w:eastAsia="Simplified Arabic" w:hAnsi="Adelle Sans ARA Semibold" w:cs="Adelle Sans ARA Semibold"/>
                <w:sz w:val="18"/>
                <w:szCs w:val="18"/>
              </w:rPr>
            </w:pPr>
            <w:r w:rsidRPr="00422C57">
              <w:rPr>
                <w:rFonts w:ascii="Adelle Sans ARA Semibold" w:eastAsia="Simplified Arabic" w:hAnsi="Adelle Sans ARA Semibold" w:cs="Adelle Sans ARA Semibold"/>
                <w:sz w:val="18"/>
                <w:szCs w:val="18"/>
                <w:rtl/>
              </w:rPr>
              <w:t>استراحة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28"/>
                <w:szCs w:val="28"/>
              </w:rPr>
            </w:pPr>
          </w:p>
        </w:tc>
      </w:tr>
      <w:tr w:rsidR="00422C57" w:rsidRPr="00422C57" w:rsidTr="00B061CD">
        <w:trPr>
          <w:cantSplit/>
          <w:trHeight w:val="362"/>
        </w:trPr>
        <w:tc>
          <w:tcPr>
            <w:tcW w:w="143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422C57" w:rsidRPr="00422C57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lang w:val="en-GB"/>
              </w:rPr>
            </w:pPr>
            <w:r w:rsidRPr="00ED06A3"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15:15 </w:t>
            </w:r>
            <w:r w:rsidRPr="00ED06A3">
              <w:rPr>
                <w:rFonts w:ascii="Adelle Sans ARA" w:hAnsi="Adelle Sans ARA" w:cs="Adelle Sans ARA"/>
                <w:sz w:val="18"/>
                <w:szCs w:val="18"/>
                <w:rtl/>
                <w:lang w:val="en-GB"/>
              </w:rPr>
              <w:t>–</w:t>
            </w:r>
            <w:r w:rsidRPr="00ED06A3"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 xml:space="preserve"> 16:00</w:t>
            </w:r>
          </w:p>
        </w:tc>
        <w:tc>
          <w:tcPr>
            <w:tcW w:w="4171" w:type="dxa"/>
            <w:gridSpan w:val="3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جلسة أسئلة وأجوبة، والتعليقات الختامية</w:t>
            </w:r>
          </w:p>
        </w:tc>
        <w:tc>
          <w:tcPr>
            <w:tcW w:w="393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28"/>
                <w:szCs w:val="28"/>
              </w:rPr>
            </w:pPr>
          </w:p>
        </w:tc>
      </w:tr>
      <w:tr w:rsidR="00422C57" w:rsidRPr="00422C57" w:rsidTr="00B061CD">
        <w:trPr>
          <w:cantSplit/>
          <w:trHeight w:val="381"/>
        </w:trPr>
        <w:tc>
          <w:tcPr>
            <w:tcW w:w="1439" w:type="dxa"/>
            <w:tcBorders>
              <w:top w:val="single" w:sz="4" w:space="0" w:color="D9D9D9" w:themeColor="background1" w:themeShade="D9"/>
              <w:left w:val="nil"/>
              <w:bottom w:val="single" w:sz="12" w:space="0" w:color="D9D9D9" w:themeColor="background1" w:themeShade="D9"/>
            </w:tcBorders>
            <w:shd w:val="clear" w:color="auto" w:fill="auto"/>
          </w:tcPr>
          <w:p w:rsidR="00422C57" w:rsidRPr="00ED06A3" w:rsidRDefault="00ED06A3" w:rsidP="00ED06A3">
            <w:pPr>
              <w:bidi/>
              <w:jc w:val="center"/>
              <w:rPr>
                <w:rFonts w:ascii="Adelle Sans ARA" w:hAnsi="Adelle Sans ARA" w:cs="Adelle Sans ARA"/>
                <w:sz w:val="18"/>
                <w:szCs w:val="18"/>
                <w:lang w:val="en-GB"/>
              </w:rPr>
            </w:pPr>
            <w:r>
              <w:rPr>
                <w:rFonts w:ascii="Adelle Sans ARA" w:hAnsi="Adelle Sans ARA" w:cs="Adelle Sans ARA" w:hint="cs"/>
                <w:sz w:val="18"/>
                <w:szCs w:val="18"/>
                <w:rtl/>
                <w:lang w:val="en-GB"/>
              </w:rPr>
              <w:t>16:00</w:t>
            </w:r>
            <w:bookmarkStart w:id="1" w:name="_GoBack"/>
            <w:bookmarkEnd w:id="1"/>
          </w:p>
        </w:tc>
        <w:tc>
          <w:tcPr>
            <w:tcW w:w="4171" w:type="dxa"/>
            <w:gridSpan w:val="3"/>
            <w:tcBorders>
              <w:top w:val="single" w:sz="4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18"/>
                <w:szCs w:val="18"/>
              </w:rPr>
            </w:pPr>
            <w:r w:rsidRPr="00422C57">
              <w:rPr>
                <w:rFonts w:ascii="Adelle Sans ARA" w:eastAsia="Simplified Arabic" w:hAnsi="Adelle Sans ARA" w:cs="Adelle Sans ARA"/>
                <w:sz w:val="18"/>
                <w:szCs w:val="18"/>
                <w:rtl/>
              </w:rPr>
              <w:t>نهاية ورشة العمل</w:t>
            </w:r>
          </w:p>
        </w:tc>
        <w:tc>
          <w:tcPr>
            <w:tcW w:w="3935" w:type="dxa"/>
            <w:tcBorders>
              <w:top w:val="single" w:sz="4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shd w:val="clear" w:color="auto" w:fill="auto"/>
          </w:tcPr>
          <w:p w:rsidR="00422C57" w:rsidRPr="00422C57" w:rsidRDefault="00422C57" w:rsidP="00723C88">
            <w:pPr>
              <w:bidi/>
              <w:rPr>
                <w:rFonts w:ascii="Adelle Sans ARA" w:eastAsia="Simplified Arabic" w:hAnsi="Adelle Sans ARA" w:cs="Adelle Sans ARA"/>
                <w:sz w:val="28"/>
                <w:szCs w:val="28"/>
              </w:rPr>
            </w:pPr>
          </w:p>
        </w:tc>
      </w:tr>
      <w:bookmarkEnd w:id="0"/>
    </w:tbl>
    <w:p w:rsidR="00646276" w:rsidRPr="00422C57" w:rsidRDefault="00646276" w:rsidP="008159AA">
      <w:pPr>
        <w:jc w:val="right"/>
        <w:rPr>
          <w:rFonts w:ascii="Adelle Sans ARA" w:hAnsi="Adelle Sans ARA" w:cs="Adelle Sans ARA"/>
          <w:sz w:val="18"/>
        </w:rPr>
      </w:pPr>
    </w:p>
    <w:sectPr w:rsidR="00646276" w:rsidRPr="00422C57" w:rsidSect="0095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ARA">
    <w:altName w:val="Times New Roman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Adelle Sans ARA Semibold">
    <w:altName w:val="Times New Roman"/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F"/>
    <w:rsid w:val="00010489"/>
    <w:rsid w:val="0002138F"/>
    <w:rsid w:val="000F4747"/>
    <w:rsid w:val="003D3C90"/>
    <w:rsid w:val="003E6FC4"/>
    <w:rsid w:val="00422C57"/>
    <w:rsid w:val="004406B2"/>
    <w:rsid w:val="004838E6"/>
    <w:rsid w:val="00596C2C"/>
    <w:rsid w:val="005B5A14"/>
    <w:rsid w:val="005C10D1"/>
    <w:rsid w:val="006417E1"/>
    <w:rsid w:val="00646276"/>
    <w:rsid w:val="008159AA"/>
    <w:rsid w:val="00871353"/>
    <w:rsid w:val="00883025"/>
    <w:rsid w:val="00956A30"/>
    <w:rsid w:val="009B017F"/>
    <w:rsid w:val="009F1A06"/>
    <w:rsid w:val="00A814A2"/>
    <w:rsid w:val="00A848FC"/>
    <w:rsid w:val="00B061CD"/>
    <w:rsid w:val="00B2334A"/>
    <w:rsid w:val="00E774D6"/>
    <w:rsid w:val="00ED06A3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D420"/>
  <w15:docId w15:val="{F3176CC5-E501-4D36-8F70-4F715E6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8F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38F"/>
    <w:pPr>
      <w:keepNext/>
      <w:keepLines/>
      <w:spacing w:before="120" w:after="120"/>
      <w:outlineLvl w:val="1"/>
    </w:pPr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38F"/>
    <w:rPr>
      <w:rFonts w:ascii="Proxima Nova Lt" w:eastAsiaTheme="majorEastAsia" w:hAnsi="Proxima Nova Lt" w:cs="Tahoma"/>
      <w:b/>
      <w:color w:val="000000" w:themeColor="text1"/>
      <w:sz w:val="30"/>
      <w:szCs w:val="26"/>
      <w:lang w:val="en-GB"/>
    </w:rPr>
  </w:style>
  <w:style w:type="table" w:styleId="TableGrid">
    <w:name w:val="Table Grid"/>
    <w:basedOn w:val="TableNormal"/>
    <w:uiPriority w:val="59"/>
    <w:rsid w:val="0002138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38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38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74D6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74D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wg.net/misp-to-csrh/templat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D6C51-3BAF-4ACF-942F-4D4E6F38529A}"/>
</file>

<file path=customXml/itemProps2.xml><?xml version="1.0" encoding="utf-8"?>
<ds:datastoreItem xmlns:ds="http://schemas.openxmlformats.org/officeDocument/2006/customXml" ds:itemID="{785FA822-C62C-4E4C-8B37-40B9B8B3C053}"/>
</file>

<file path=customXml/itemProps3.xml><?xml version="1.0" encoding="utf-8"?>
<ds:datastoreItem xmlns:ds="http://schemas.openxmlformats.org/officeDocument/2006/customXml" ds:itemID="{3FAD936B-7881-43FC-BC94-470B97B63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5</cp:revision>
  <dcterms:created xsi:type="dcterms:W3CDTF">2021-03-28T23:38:00Z</dcterms:created>
  <dcterms:modified xsi:type="dcterms:W3CDTF">2021-06-13T16:34:00Z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