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75" w:rsidRPr="00620117" w:rsidRDefault="00620117" w:rsidP="00557A54">
      <w:pPr>
        <w:pStyle w:val="Heading2"/>
        <w:bidi/>
        <w:rPr>
          <w:rFonts w:ascii="Adelle Sans ARA" w:eastAsia="Adelle Sans ARA" w:hAnsi="Adelle Sans ARA" w:cs="Adelle Sans ARA"/>
          <w:bCs/>
          <w:color w:val="auto"/>
          <w:sz w:val="28"/>
          <w:szCs w:val="28"/>
          <w:shd w:val="clear" w:color="auto" w:fill="FFFFFF" w:themeFill="background1"/>
          <w:lang w:val="en-US"/>
        </w:rPr>
      </w:pPr>
      <w:r w:rsidRPr="00620117">
        <w:rPr>
          <w:rFonts w:ascii="Adelle Sans ARA" w:eastAsia="Adelle Sans ARA" w:hAnsi="Adelle Sans ARA" w:cs="Adelle Sans ARA"/>
          <w:bCs/>
          <w:color w:val="auto"/>
          <w:sz w:val="28"/>
          <w:szCs w:val="28"/>
          <w:shd w:val="clear" w:color="auto" w:fill="FFFFFF" w:themeFill="background1"/>
          <w:rtl/>
          <w:lang w:val="en-US"/>
        </w:rPr>
        <w:t>نموذج أ:</w:t>
      </w:r>
      <w:r w:rsidRPr="00620117">
        <w:rPr>
          <w:rFonts w:ascii="Adelle Sans ARA" w:eastAsia="Adelle Sans ARA" w:hAnsi="Adelle Sans ARA" w:cs="Adelle Sans ARA"/>
          <w:bCs/>
          <w:color w:val="auto"/>
          <w:sz w:val="28"/>
          <w:szCs w:val="28"/>
          <w:shd w:val="clear" w:color="auto" w:fill="FFFFFF" w:themeFill="background1"/>
          <w:rtl/>
          <w:lang w:val="en-US"/>
        </w:rPr>
        <w:t xml:space="preserve"> ملخص معلومات </w:t>
      </w:r>
      <w:r w:rsidR="00557A54" w:rsidRPr="00620117">
        <w:rPr>
          <w:rFonts w:ascii="Adelle Sans ARA" w:eastAsia="Adelle Sans ARA" w:hAnsi="Adelle Sans ARA" w:cs="Adelle Sans ARA"/>
          <w:bCs/>
          <w:color w:val="auto"/>
          <w:sz w:val="28"/>
          <w:szCs w:val="28"/>
          <w:shd w:val="clear" w:color="auto" w:fill="FFFFFF" w:themeFill="background1"/>
          <w:rtl/>
          <w:lang w:val="en-US"/>
        </w:rPr>
        <w:t xml:space="preserve">أساسية </w:t>
      </w:r>
      <w:r w:rsidRPr="00620117">
        <w:rPr>
          <w:rFonts w:ascii="Adelle Sans ARA" w:eastAsia="Adelle Sans ARA" w:hAnsi="Adelle Sans ARA" w:cs="Adelle Sans ARA"/>
          <w:bCs/>
          <w:color w:val="auto"/>
          <w:sz w:val="28"/>
          <w:szCs w:val="28"/>
          <w:shd w:val="clear" w:color="auto" w:fill="FFFFFF" w:themeFill="background1"/>
          <w:rtl/>
          <w:lang w:val="en-US"/>
        </w:rPr>
        <w:t>عن الصحة الجنسية والإنجابية</w:t>
      </w:r>
    </w:p>
    <w:p w:rsidR="00192C75" w:rsidRDefault="00192C75">
      <w:pPr>
        <w:pStyle w:val="Heading2"/>
        <w:bidi/>
        <w:rPr>
          <w:rFonts w:ascii="Adelle Sans ARA" w:eastAsia="Adelle Sans ARA" w:hAnsi="Adelle Sans ARA" w:cs="Adelle Sans ARA"/>
        </w:rPr>
      </w:pPr>
    </w:p>
    <w:p w:rsidR="00192C75" w:rsidRDefault="00620117" w:rsidP="00620117">
      <w:pPr>
        <w:shd w:val="clear" w:color="auto" w:fill="FFFFFF" w:themeFill="background1"/>
        <w:bidi/>
        <w:rPr>
          <w:rFonts w:ascii="Adelle Sans ARA" w:eastAsia="Adelle Sans ARA" w:hAnsi="Adelle Sans ARA" w:cs="Adelle Sans ARA"/>
        </w:rPr>
      </w:pPr>
      <w:r w:rsidRPr="00620117">
        <w:rPr>
          <w:rFonts w:ascii="Adelle Sans ARA" w:eastAsia="Adelle Sans ARA" w:hAnsi="Adelle Sans ARA" w:cs="Adelle Sans ARA"/>
          <w:shd w:val="clear" w:color="auto" w:fill="FFFFFF" w:themeFill="background1"/>
          <w:rtl/>
        </w:rPr>
        <w:t xml:space="preserve">يُستخدم هذا النموذج لجمع بيانات الصحة الجنسية والإنجابية الضرورية عن المكان الذي تعمل/ين فيه. تتوفر نسخة قابلة للتحرير من هذا النموذج كمستند </w:t>
      </w:r>
      <w:r w:rsidRPr="00620117">
        <w:rPr>
          <w:rFonts w:ascii="Adelle Sans ARA" w:eastAsia="Adelle Sans ARA" w:hAnsi="Adelle Sans ARA" w:cs="Adelle Sans ARA"/>
          <w:shd w:val="clear" w:color="auto" w:fill="FFFFFF" w:themeFill="background1"/>
        </w:rPr>
        <w:t>Word</w:t>
      </w:r>
      <w:r w:rsidRPr="00620117">
        <w:rPr>
          <w:rFonts w:ascii="Adelle Sans ARA" w:eastAsia="Adelle Sans ARA" w:hAnsi="Adelle Sans ARA" w:cs="Adelle Sans ARA"/>
          <w:shd w:val="clear" w:color="auto" w:fill="FFFFFF" w:themeFill="background1"/>
          <w:rtl/>
        </w:rPr>
        <w:t xml:space="preserve"> أو ورقة عمل </w:t>
      </w:r>
      <w:r w:rsidRPr="00620117">
        <w:rPr>
          <w:rFonts w:ascii="Adelle Sans ARA" w:eastAsia="Adelle Sans ARA" w:hAnsi="Adelle Sans ARA" w:cs="Adelle Sans ARA"/>
          <w:shd w:val="clear" w:color="auto" w:fill="FFFFFF" w:themeFill="background1"/>
        </w:rPr>
        <w:t>Excel</w:t>
      </w:r>
      <w:r w:rsidRPr="00620117">
        <w:rPr>
          <w:rFonts w:ascii="Adelle Sans ARA" w:eastAsia="Adelle Sans ARA" w:hAnsi="Adelle Sans ARA" w:cs="Adelle Sans ARA"/>
          <w:shd w:val="clear" w:color="auto" w:fill="FFFFFF" w:themeFill="background1"/>
          <w:rtl/>
        </w:rPr>
        <w:t xml:space="preserve"> عبر الإنترنت على </w:t>
      </w:r>
      <w:hyperlink r:id="rId5">
        <w:r w:rsidRPr="00620117">
          <w:rPr>
            <w:rFonts w:ascii="Adelle Sans ARA" w:eastAsia="Adelle Sans ARA" w:hAnsi="Adelle Sans ARA" w:cs="Adelle Sans ARA"/>
            <w:color w:val="0563C1"/>
            <w:u w:val="single"/>
            <w:shd w:val="clear" w:color="auto" w:fill="FFFFFF" w:themeFill="background1"/>
          </w:rPr>
          <w:t>https://iawg.net/misp-to-csrh/templates</w:t>
        </w:r>
      </w:hyperlink>
      <w:r>
        <w:rPr>
          <w:rFonts w:ascii="Adelle Sans ARA" w:eastAsia="Adelle Sans ARA" w:hAnsi="Adelle Sans ARA" w:cs="Adelle Sans ARA"/>
          <w:b/>
        </w:rPr>
        <w:br/>
      </w:r>
    </w:p>
    <w:p w:rsidR="00192C75" w:rsidRDefault="00192C75" w:rsidP="00620117">
      <w:pPr>
        <w:bidi/>
      </w:pPr>
      <w:bookmarkStart w:id="0" w:name="_heading=h.gjdgxs" w:colFirst="0" w:colLast="0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35"/>
        <w:gridCol w:w="4859"/>
      </w:tblGrid>
      <w:tr w:rsidR="00557A54" w:rsidTr="00620117">
        <w:tc>
          <w:tcPr>
            <w:tcW w:w="3635" w:type="dxa"/>
            <w:shd w:val="clear" w:color="auto" w:fill="F2F2F2" w:themeFill="background1" w:themeFillShade="F2"/>
          </w:tcPr>
          <w:p w:rsidR="00557A54" w:rsidRDefault="00557A54" w:rsidP="00E8419F">
            <w:pPr>
              <w:bidi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0117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إحصاءات أساسية وحالية عن الصحة الجنسية والإنجاب</w:t>
            </w:r>
            <w:bookmarkStart w:id="1" w:name="_GoBack"/>
            <w:bookmarkEnd w:id="1"/>
            <w:r w:rsidRPr="00620117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ية والإحصاءات الديمغرافية</w:t>
            </w:r>
          </w:p>
          <w:p w:rsidR="00620117" w:rsidRPr="00620117" w:rsidRDefault="00620117" w:rsidP="00620117">
            <w:pPr>
              <w:bidi/>
              <w:rPr>
                <w:rFonts w:asciiTheme="minorHAnsi" w:hAnsiTheme="minorHAnsi" w:cstheme="minorHAnsi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859" w:type="dxa"/>
          </w:tcPr>
          <w:p w:rsidR="00557A54" w:rsidRDefault="00557A54" w:rsidP="00E8419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557A54" w:rsidTr="00620117">
        <w:tc>
          <w:tcPr>
            <w:tcW w:w="3635" w:type="dxa"/>
            <w:shd w:val="clear" w:color="auto" w:fill="F2F2F2" w:themeFill="background1" w:themeFillShade="F2"/>
          </w:tcPr>
          <w:p w:rsidR="00557A54" w:rsidRDefault="00557A54" w:rsidP="00E8419F">
            <w:pPr>
              <w:bidi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0117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الوضع الحالي لتطبيق حزمة الخدمات المبدئية</w:t>
            </w:r>
          </w:p>
          <w:p w:rsidR="00620117" w:rsidRPr="00620117" w:rsidRDefault="00620117" w:rsidP="00620117">
            <w:pPr>
              <w:bidi/>
              <w:rPr>
                <w:rFonts w:asciiTheme="minorHAnsi" w:hAnsiTheme="minorHAnsi" w:cstheme="minorHAnsi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859" w:type="dxa"/>
          </w:tcPr>
          <w:p w:rsidR="00557A54" w:rsidRDefault="00557A54" w:rsidP="00E8419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557A54" w:rsidTr="00620117">
        <w:tc>
          <w:tcPr>
            <w:tcW w:w="3635" w:type="dxa"/>
            <w:shd w:val="clear" w:color="auto" w:fill="F2F2F2" w:themeFill="background1" w:themeFillShade="F2"/>
          </w:tcPr>
          <w:p w:rsidR="00557A54" w:rsidRDefault="00557A54" w:rsidP="00E8419F">
            <w:pPr>
              <w:bidi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0117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السياسات والبروتوكولات الأساسية للصحة الجنسية والإنجابية</w:t>
            </w:r>
          </w:p>
          <w:p w:rsidR="00620117" w:rsidRPr="00620117" w:rsidRDefault="00620117" w:rsidP="00620117">
            <w:pPr>
              <w:bidi/>
              <w:rPr>
                <w:rFonts w:asciiTheme="minorHAnsi" w:hAnsiTheme="minorHAnsi" w:cstheme="minorHAnsi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859" w:type="dxa"/>
          </w:tcPr>
          <w:p w:rsidR="00557A54" w:rsidRDefault="00557A54" w:rsidP="00E8419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557A54" w:rsidTr="00620117">
        <w:tc>
          <w:tcPr>
            <w:tcW w:w="3635" w:type="dxa"/>
            <w:shd w:val="clear" w:color="auto" w:fill="F2F2F2" w:themeFill="background1" w:themeFillShade="F2"/>
          </w:tcPr>
          <w:p w:rsidR="00557A54" w:rsidRDefault="00557A54" w:rsidP="00E8419F">
            <w:pPr>
              <w:bidi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0117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التعريفات والإرشادات القانونية ذات الصلة المتعلقة بالصحة الجنسية والإنجابية (على سبيل المثال، سن القبول، تعريف الاغتصاب، قوانين الإجهاض)</w:t>
            </w:r>
          </w:p>
          <w:p w:rsidR="00620117" w:rsidRPr="00620117" w:rsidRDefault="00620117" w:rsidP="00620117">
            <w:pPr>
              <w:bidi/>
              <w:rPr>
                <w:rFonts w:asciiTheme="minorHAnsi" w:hAnsiTheme="minorHAnsi" w:cstheme="minorHAnsi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859" w:type="dxa"/>
          </w:tcPr>
          <w:p w:rsidR="00557A54" w:rsidRDefault="00557A54" w:rsidP="00E8419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557A54" w:rsidTr="00620117">
        <w:tc>
          <w:tcPr>
            <w:tcW w:w="3635" w:type="dxa"/>
            <w:shd w:val="clear" w:color="auto" w:fill="F2F2F2" w:themeFill="background1" w:themeFillShade="F2"/>
          </w:tcPr>
          <w:p w:rsidR="00557A54" w:rsidRDefault="00557A54" w:rsidP="00E8419F">
            <w:pPr>
              <w:bidi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0117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البنية التحتية الصحية، بما في ذلك نقاط توفير خدمات الصحة الجنسية والإنجابية</w:t>
            </w:r>
          </w:p>
          <w:p w:rsidR="00620117" w:rsidRPr="00620117" w:rsidRDefault="00620117" w:rsidP="00620117">
            <w:pPr>
              <w:bidi/>
              <w:rPr>
                <w:rFonts w:asciiTheme="minorHAnsi" w:hAnsiTheme="minorHAnsi" w:cstheme="minorHAnsi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859" w:type="dxa"/>
          </w:tcPr>
          <w:p w:rsidR="00557A54" w:rsidRDefault="00557A54" w:rsidP="00E8419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557A54" w:rsidTr="00620117">
        <w:tc>
          <w:tcPr>
            <w:tcW w:w="3635" w:type="dxa"/>
            <w:shd w:val="clear" w:color="auto" w:fill="F2F2F2" w:themeFill="background1" w:themeFillShade="F2"/>
          </w:tcPr>
          <w:p w:rsidR="00557A54" w:rsidRDefault="00557A54" w:rsidP="00E8419F">
            <w:pPr>
              <w:bidi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0117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توافر موظفي/ات الصحة الجنسية والإنجابية ومستواهم/ن التدريبي (بما في ذلك المدارس المهنية القادرة على أداء مهامها)</w:t>
            </w:r>
          </w:p>
          <w:p w:rsidR="00620117" w:rsidRPr="00620117" w:rsidRDefault="00620117" w:rsidP="00620117">
            <w:pPr>
              <w:bidi/>
              <w:rPr>
                <w:rFonts w:asciiTheme="minorHAnsi" w:hAnsiTheme="minorHAnsi" w:cstheme="minorHAnsi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859" w:type="dxa"/>
          </w:tcPr>
          <w:p w:rsidR="00557A54" w:rsidRDefault="00557A54" w:rsidP="00E8419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557A54" w:rsidTr="00620117">
        <w:tc>
          <w:tcPr>
            <w:tcW w:w="3635" w:type="dxa"/>
            <w:shd w:val="clear" w:color="auto" w:fill="F2F2F2" w:themeFill="background1" w:themeFillShade="F2"/>
          </w:tcPr>
          <w:p w:rsidR="00557A54" w:rsidRDefault="00557A54" w:rsidP="00E8419F">
            <w:pPr>
              <w:bidi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0117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سلع وخطوط إمداد خدمات الصحة الجنسية والإنجابية</w:t>
            </w:r>
          </w:p>
          <w:p w:rsidR="00620117" w:rsidRPr="00620117" w:rsidRDefault="00620117" w:rsidP="00620117">
            <w:pPr>
              <w:bidi/>
              <w:rPr>
                <w:rFonts w:asciiTheme="minorHAnsi" w:hAnsiTheme="minorHAnsi" w:cstheme="minorHAnsi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859" w:type="dxa"/>
          </w:tcPr>
          <w:p w:rsidR="00557A54" w:rsidRDefault="00557A54" w:rsidP="00E8419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557A54" w:rsidTr="00620117">
        <w:tc>
          <w:tcPr>
            <w:tcW w:w="3635" w:type="dxa"/>
            <w:shd w:val="clear" w:color="auto" w:fill="F2F2F2" w:themeFill="background1" w:themeFillShade="F2"/>
          </w:tcPr>
          <w:p w:rsidR="00557A54" w:rsidRDefault="00557A54" w:rsidP="00E8419F">
            <w:pPr>
              <w:bidi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0117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الإنفاق والتمويل (الرعاية الصحية الأولية بما في ذلك الصحة الجنسية والإنجابية)</w:t>
            </w:r>
          </w:p>
          <w:p w:rsidR="00620117" w:rsidRPr="00620117" w:rsidRDefault="00620117" w:rsidP="00620117">
            <w:pPr>
              <w:bidi/>
              <w:rPr>
                <w:rFonts w:asciiTheme="minorHAnsi" w:hAnsiTheme="minorHAnsi" w:cstheme="minorHAnsi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859" w:type="dxa"/>
          </w:tcPr>
          <w:p w:rsidR="00557A54" w:rsidRDefault="00557A54" w:rsidP="00E8419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557A54" w:rsidTr="00620117">
        <w:tc>
          <w:tcPr>
            <w:tcW w:w="3635" w:type="dxa"/>
            <w:shd w:val="clear" w:color="auto" w:fill="F2F2F2" w:themeFill="background1" w:themeFillShade="F2"/>
          </w:tcPr>
          <w:p w:rsidR="00557A54" w:rsidRDefault="00620117" w:rsidP="00E8419F">
            <w:pPr>
              <w:bidi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  <w:lang w:bidi="ar-LB"/>
              </w:rPr>
              <w:t>ال</w:t>
            </w:r>
            <w:r w:rsidR="00557A54" w:rsidRPr="00620117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وضع الحالي لدمج مؤشرات الصحة الجنسية والإنجابية في نظام المعلومات الصحية الوطني</w:t>
            </w:r>
          </w:p>
          <w:p w:rsidR="00620117" w:rsidRPr="00620117" w:rsidRDefault="00620117" w:rsidP="00620117">
            <w:pPr>
              <w:bidi/>
              <w:rPr>
                <w:rFonts w:asciiTheme="minorHAnsi" w:hAnsiTheme="minorHAnsi" w:cstheme="minorHAnsi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859" w:type="dxa"/>
          </w:tcPr>
          <w:p w:rsidR="00557A54" w:rsidRDefault="00557A54" w:rsidP="00E8419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557A54" w:rsidRDefault="00557A54" w:rsidP="00620117">
      <w:pPr>
        <w:bidi/>
        <w:rPr>
          <w:rFonts w:hint="cs"/>
        </w:rPr>
      </w:pPr>
    </w:p>
    <w:p w:rsidR="00557A54" w:rsidRDefault="00557A54" w:rsidP="00620117">
      <w:pPr>
        <w:bidi/>
      </w:pPr>
    </w:p>
    <w:sectPr w:rsidR="00557A5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L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elle Sans ARA">
    <w:altName w:val="Times New Roman"/>
    <w:charset w:val="00"/>
    <w:family w:val="auto"/>
    <w:pitch w:val="default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75"/>
    <w:rsid w:val="00192C75"/>
    <w:rsid w:val="00557A54"/>
    <w:rsid w:val="0062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B9C6A"/>
  <w15:docId w15:val="{66640A7B-57C8-4759-A90D-6A2FA5FA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8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38F"/>
    <w:pPr>
      <w:keepNext/>
      <w:keepLines/>
      <w:spacing w:before="120" w:after="120"/>
      <w:outlineLvl w:val="1"/>
    </w:pPr>
    <w:rPr>
      <w:rFonts w:ascii="Proxima Nova Lt" w:eastAsiaTheme="majorEastAsia" w:hAnsi="Proxima Nova Lt" w:cs="Tahoma"/>
      <w:b/>
      <w:color w:val="000000" w:themeColor="text1"/>
      <w:sz w:val="30"/>
      <w:szCs w:val="26"/>
      <w:lang w:val="en-GB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02138F"/>
    <w:rPr>
      <w:rFonts w:ascii="Proxima Nova Lt" w:eastAsiaTheme="majorEastAsia" w:hAnsi="Proxima Nova Lt" w:cs="Tahoma"/>
      <w:b/>
      <w:color w:val="000000" w:themeColor="text1"/>
      <w:sz w:val="30"/>
      <w:szCs w:val="26"/>
      <w:lang w:val="en-GB"/>
    </w:rPr>
  </w:style>
  <w:style w:type="table" w:styleId="TableGrid">
    <w:name w:val="Table Grid"/>
    <w:basedOn w:val="TableNormal"/>
    <w:uiPriority w:val="39"/>
    <w:rsid w:val="0002138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1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38F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38F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38F"/>
    <w:rPr>
      <w:rFonts w:ascii="Tahoma" w:hAnsi="Tahoma" w:cs="Tahoma"/>
      <w:sz w:val="16"/>
      <w:szCs w:val="16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awg.net/misp-to-csrh/templates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7owtfLknljZQR9ORVSksHHlwow==">AMUW2mVrXijI/UrQy5I0DYZ4BeJsZS6RAtuOfk0wc2he1w5iiE58KeTyZ9ltcq1UgmcyXu8lzA9QsrN1OYzX3f+z8+K9Hc9RMCL1DMUXDSKbvSkvWb4bFEIlSLhFetaJ8aIkKiK3ryjm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48E122EB70F4D8FD043D868BD336F" ma:contentTypeVersion="12" ma:contentTypeDescription="Create a new document." ma:contentTypeScope="" ma:versionID="8978bff9348570d296ad436f7337ac01">
  <xsd:schema xmlns:xsd="http://www.w3.org/2001/XMLSchema" xmlns:xs="http://www.w3.org/2001/XMLSchema" xmlns:p="http://schemas.microsoft.com/office/2006/metadata/properties" xmlns:ns2="abaf79d7-eaea-4b68-b050-82b0c0447fbd" xmlns:ns3="c3ceaa90-e655-47b7-adc6-9de606e54947" targetNamespace="http://schemas.microsoft.com/office/2006/metadata/properties" ma:root="true" ma:fieldsID="d0a794a51c9a2d68460bd820c72c0db4" ns2:_="" ns3:_="">
    <xsd:import namespace="abaf79d7-eaea-4b68-b050-82b0c0447fbd"/>
    <xsd:import namespace="c3ceaa90-e655-47b7-adc6-9de606e54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f79d7-eaea-4b68-b050-82b0c0447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aa90-e655-47b7-adc6-9de606e54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89B29F-C8FD-4DA4-A56C-B57242CFDCA6}"/>
</file>

<file path=customXml/itemProps3.xml><?xml version="1.0" encoding="utf-8"?>
<ds:datastoreItem xmlns:ds="http://schemas.openxmlformats.org/officeDocument/2006/customXml" ds:itemID="{5B5EB9C9-3E1B-4503-9254-46461FEE7FFB}"/>
</file>

<file path=customXml/itemProps4.xml><?xml version="1.0" encoding="utf-8"?>
<ds:datastoreItem xmlns:ds="http://schemas.openxmlformats.org/officeDocument/2006/customXml" ds:itemID="{0F3A22E5-B729-4878-9667-8BA62EF934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Windows User</cp:lastModifiedBy>
  <cp:revision>2</cp:revision>
  <dcterms:created xsi:type="dcterms:W3CDTF">2020-11-26T13:51:00Z</dcterms:created>
  <dcterms:modified xsi:type="dcterms:W3CDTF">2021-06-13T14:34:00Z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0x010100B8248E122EB70F4D8FD043D868BD336F</vt:lpwstr>
  </property>
</Properties>
</file>